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C0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 w14:paraId="569D90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03625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重点方向</w:t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清单</w:t>
      </w:r>
    </w:p>
    <w:bookmarkEnd w:id="0"/>
    <w:p w14:paraId="49C5D6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tbl>
      <w:tblPr>
        <w:tblStyle w:val="2"/>
        <w:tblW w:w="4999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7879"/>
      </w:tblGrid>
      <w:tr w14:paraId="4817E4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1E5162C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6BD18AC2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聚焦中华文明起源与发展研究领域的重大科学问题，开展跨学科、跨领域技术方法协同研究。</w:t>
            </w:r>
          </w:p>
        </w:tc>
      </w:tr>
      <w:tr w14:paraId="3F0CF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76" w:type="pct"/>
            <w:noWrap w:val="0"/>
            <w:vAlign w:val="top"/>
          </w:tcPr>
          <w:p w14:paraId="715677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4623" w:type="pct"/>
            <w:noWrap w:val="0"/>
            <w:vAlign w:val="top"/>
          </w:tcPr>
          <w:p w14:paraId="53882FB7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地下、地表考古遗存大范围无损探测，通过技术集成与跨学科协同提高探测能力。</w:t>
            </w:r>
          </w:p>
        </w:tc>
      </w:tr>
      <w:tr w14:paraId="6BA6DC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0EFCA1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31D7ACBA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考古数据挖掘与模式识别，拓展基于数据分析的考古研究范式。</w:t>
            </w:r>
          </w:p>
        </w:tc>
      </w:tr>
      <w:tr w14:paraId="083CEE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51F043B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698B0DEC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不可见有机残留物分析研究，进一步发展和完善有机残留物分析方法。</w:t>
            </w:r>
          </w:p>
        </w:tc>
      </w:tr>
      <w:tr w14:paraId="218A3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5CD77E6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7CD74F21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沉积物古DNA分析方法及其考古应用研究。</w:t>
            </w:r>
          </w:p>
        </w:tc>
      </w:tr>
      <w:tr w14:paraId="5EEFB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49518D0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0B154E2B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生物传感器在考古和文物保护中的应用，拓展文物领域检测分析能力。</w:t>
            </w:r>
          </w:p>
        </w:tc>
      </w:tr>
      <w:tr w14:paraId="6EEB0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6E60337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79A877BB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高精度年代序列构建方法。</w:t>
            </w:r>
          </w:p>
        </w:tc>
      </w:tr>
      <w:tr w14:paraId="30FA74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76" w:type="pct"/>
            <w:noWrap w:val="0"/>
            <w:vAlign w:val="top"/>
          </w:tcPr>
          <w:p w14:paraId="71B9F3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highlight w:val="none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75EE739B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文物本体材料及病害等效模拟方法，解决文物保护技术试验和验证缺乏可靠模拟样的难题。</w:t>
            </w:r>
          </w:p>
        </w:tc>
      </w:tr>
      <w:tr w14:paraId="16CDA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7165DCD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3C59509B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纺织品文物主要病害对文物本体材料性能的影响及损害行为，为文物病害诊断分级提供科学依据。</w:t>
            </w:r>
          </w:p>
        </w:tc>
      </w:tr>
      <w:tr w14:paraId="4B2B6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4CFA49F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274BE0E7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不同类型古建筑结构关键力学机制及多尺度力学模型，为开展古建筑稳定性评估提供更具针对性的科学支撑。</w:t>
            </w:r>
          </w:p>
        </w:tc>
      </w:tr>
      <w:tr w14:paraId="5C0E9A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679D733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4623" w:type="pct"/>
            <w:noWrap w:val="0"/>
            <w:vAlign w:val="top"/>
          </w:tcPr>
          <w:p w14:paraId="0D762EEA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大型金属文物主要病害累积对文物结构稳定性的影响，为文物稳定性分析提供科学依据。</w:t>
            </w:r>
          </w:p>
        </w:tc>
      </w:tr>
      <w:tr w14:paraId="70C74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3CDCB8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12FA856D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石质文物防风化保护机理及策略。</w:t>
            </w:r>
          </w:p>
        </w:tc>
      </w:tr>
      <w:tr w14:paraId="20B18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060ABB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64E3BB64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土遗址隐蔽病害无损探测技术，支撑土遗址病害精确诊断需求。</w:t>
            </w:r>
          </w:p>
        </w:tc>
      </w:tr>
      <w:tr w14:paraId="4DC9F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6181DA7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20EFBB5E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集成数据挖掘与人工智能技术，支撑对不可移动文物的原位、长期连续监测，无侵入式捕捉周边环境变化对文物的影响。</w:t>
            </w:r>
          </w:p>
        </w:tc>
      </w:tr>
      <w:tr w14:paraId="55205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48BB38D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5CEB5688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油画保护技术与方法，支撑构建油画保护技术体系。</w:t>
            </w:r>
          </w:p>
        </w:tc>
      </w:tr>
      <w:tr w14:paraId="3AA98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41C14C5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227AF91D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封护、填充类文物保护材料与文物本体的界面作用机理、失效规律及其失效后对文物的影响，为文物保护材料的安全施用提供科学依据。</w:t>
            </w:r>
          </w:p>
        </w:tc>
      </w:tr>
      <w:tr w14:paraId="1698A7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376" w:type="pct"/>
            <w:noWrap w:val="0"/>
            <w:vAlign w:val="top"/>
          </w:tcPr>
          <w:p w14:paraId="6EE7049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ind w:left="425" w:right="0" w:hanging="425"/>
              <w:jc w:val="righ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4623" w:type="pct"/>
            <w:noWrap w:val="0"/>
            <w:vAlign w:val="top"/>
          </w:tcPr>
          <w:p w14:paraId="7FFE7074">
            <w:pPr>
              <w:keepNext w:val="0"/>
              <w:keepLines w:val="0"/>
              <w:widowControl/>
              <w:suppressLineNumbers w:val="0"/>
              <w:kinsoku/>
              <w:overflowPunct/>
              <w:autoSpaceDE/>
              <w:bidi w:val="0"/>
              <w:snapToGrid w:val="0"/>
              <w:spacing w:line="5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人工智能在文物活化利用中的应用。</w:t>
            </w:r>
          </w:p>
        </w:tc>
      </w:tr>
    </w:tbl>
    <w:p w14:paraId="1358F984"/>
    <w:p w14:paraId="310468C0"/>
    <w:p w14:paraId="546F7B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1A98459-AFE1-4478-A3B2-3A106FB9EA00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C09D2870-B1DE-413E-89BF-C0661C587E8C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C6FC01B-D4C2-45E3-B936-001829E6D5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singleLevel"/>
    <w:tmpl w:val="CF092B84"/>
    <w:lvl w:ilvl="0" w:tentative="0">
      <w:start w:val="1"/>
      <w:numFmt w:val="decimal"/>
      <w:lvlText w:val="%1."/>
      <w:lvlJc w:val="left"/>
      <w:pPr>
        <w:tabs>
          <w:tab w:val="left" w:pos="0"/>
        </w:tabs>
        <w:ind w:left="425" w:hanging="425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310D7"/>
    <w:rsid w:val="40631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2026-10-16T11:47:00Z</dcterms:created>
  <dc:creator>刘易寒</dc:creator>
  <cp:lastModifiedBy>刘易寒</cp:lastModifiedBy>
  <dcterms:modified xsi:type="dcterms:W3CDTF">2026-10-16T11:47:24Z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3D1E6A581A0E4DBEBF5E70E73EE0EE82_11</vt:lpwstr>
  </property>
  <property fmtid="{D5CDD505-2E9C-101B-9397-08002B2CF9AE}" pid="4" name="KSOTemplateDocerSaveRecord">
    <vt:lpwstr>eyJoZGlkIjoiMDkwOWYxNTFiNTcxMzE4NmYxM2E0YWNhODM5NzY1ZjIiLCJ1c2VySWQiOiI2NzgyMzM3MzgifQ==</vt:lpwstr>
  </property>
</Properties>
</file>