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A18D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outlineLvl w:val="9"/>
        <w:rPr>
          <w:rFonts w:hint="eastAsia" w:ascii="黑体" w:hAnsi="黑体" w:eastAsia="黑体" w:cs="黑体"/>
          <w:spacing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pacing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pacing w:val="0"/>
          <w:sz w:val="32"/>
          <w:szCs w:val="32"/>
          <w:lang w:val="en-US" w:eastAsia="zh-CN"/>
        </w:rPr>
        <w:t>1</w:t>
      </w:r>
    </w:p>
    <w:p w14:paraId="7B8353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</w:p>
    <w:p w14:paraId="4690B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  <w:r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  <w:t>国家文物局重点科研基地管理办法</w:t>
      </w:r>
    </w:p>
    <w:bookmarkEnd w:id="0"/>
    <w:p w14:paraId="2ABE11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/>
        <w:jc w:val="center"/>
        <w:textAlignment w:val="auto"/>
        <w:rPr>
          <w:rFonts w:ascii="方正小标宋简体" w:eastAsia="方正小标宋简体"/>
          <w:sz w:val="36"/>
          <w:szCs w:val="36"/>
        </w:rPr>
      </w:pPr>
    </w:p>
    <w:p w14:paraId="7F0F62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jc w:val="center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第一章  总 则</w:t>
      </w:r>
    </w:p>
    <w:p w14:paraId="04FC7F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第一条</w:t>
      </w:r>
      <w:r>
        <w:rPr>
          <w:rFonts w:hint="eastAsia" w:ascii="仿宋_GB2312"/>
          <w:sz w:val="32"/>
          <w:szCs w:val="32"/>
        </w:rPr>
        <w:t xml:space="preserve">  为规范和加强国家文物局重点科研基地（以下简称科研基地）的建设和运行管理，根据《中华人民共和国科学技术进步法》、《中华人民共和国文物保护法》，制定本办法。</w:t>
      </w:r>
    </w:p>
    <w:p w14:paraId="169045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第二条</w:t>
      </w:r>
      <w:r>
        <w:rPr>
          <w:rFonts w:hint="eastAsia" w:ascii="仿宋_GB2312"/>
          <w:sz w:val="32"/>
          <w:szCs w:val="32"/>
        </w:rPr>
        <w:tab/>
      </w:r>
      <w:r>
        <w:rPr>
          <w:rFonts w:hint="eastAsia" w:ascii="仿宋_GB2312"/>
          <w:sz w:val="32"/>
          <w:szCs w:val="32"/>
        </w:rPr>
        <w:t xml:space="preserve">  科研基地是依托文博单位、高等院校、科研院所、科研型企业等具有原始创新能力的机构形成的相对独立的科研实体。</w:t>
      </w:r>
    </w:p>
    <w:p w14:paraId="3F2345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第三条</w:t>
      </w:r>
      <w:r>
        <w:rPr>
          <w:rFonts w:hint="eastAsia" w:ascii="仿宋_GB2312"/>
          <w:sz w:val="32"/>
          <w:szCs w:val="32"/>
        </w:rPr>
        <w:t xml:space="preserve">  科研基地的主要任务是面向文物保护与利用需求，在重要科技领域和方向上开展科技基础性工作和创新性研究。</w:t>
      </w:r>
    </w:p>
    <w:p w14:paraId="180F02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第四条</w:t>
      </w:r>
      <w:r>
        <w:rPr>
          <w:rFonts w:hint="eastAsia" w:ascii="仿宋_GB2312"/>
          <w:sz w:val="32"/>
          <w:szCs w:val="32"/>
        </w:rPr>
        <w:t xml:space="preserve">  科研基地应建设成为文物保护与利用相关领域的科技研发中心、人才孵化中心、成果辐射中心和交流合作中心。</w:t>
      </w:r>
    </w:p>
    <w:p w14:paraId="281281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第五条</w:t>
      </w:r>
      <w:r>
        <w:rPr>
          <w:rFonts w:hint="eastAsia" w:ascii="仿宋_GB2312"/>
          <w:sz w:val="32"/>
          <w:szCs w:val="32"/>
        </w:rPr>
        <w:t xml:space="preserve">  国家文物局依托科研基地组织文物领域高水平应用基础研究、应用技术研究、管理科学研究，聚集和培养优秀科技人才，推动科技成果转化，开展学术交流与合作。</w:t>
      </w:r>
    </w:p>
    <w:p w14:paraId="7A8E08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第六条</w:t>
      </w:r>
      <w:r>
        <w:rPr>
          <w:rFonts w:hint="eastAsia" w:ascii="仿宋_GB2312"/>
          <w:sz w:val="32"/>
          <w:szCs w:val="32"/>
        </w:rPr>
        <w:t xml:space="preserve">  科研基地实行合理布局、总量控制、定期评估、优胜劣汰的管理原则。</w:t>
      </w:r>
    </w:p>
    <w:p w14:paraId="1F48A7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jc w:val="center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第二章 管理机构与职责</w:t>
      </w:r>
    </w:p>
    <w:p w14:paraId="17FBCE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第七条</w:t>
      </w:r>
      <w:r>
        <w:rPr>
          <w:rFonts w:hint="eastAsia" w:ascii="仿宋_GB2312"/>
          <w:sz w:val="32"/>
          <w:szCs w:val="32"/>
        </w:rPr>
        <w:t xml:space="preserve">  科研基地实行国家文物局、省级文物行政部门和依托单位三级管理。</w:t>
      </w:r>
    </w:p>
    <w:p w14:paraId="60B938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第八条</w:t>
      </w:r>
      <w:r>
        <w:rPr>
          <w:rFonts w:hint="eastAsia" w:ascii="仿宋_GB2312"/>
          <w:sz w:val="32"/>
          <w:szCs w:val="32"/>
        </w:rPr>
        <w:t xml:space="preserve">  国家文物局是科研基地的宏观管理部门，主要职责是：</w:t>
      </w:r>
    </w:p>
    <w:p w14:paraId="71B2DD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（一）编制发布科研基地发展规划和建设指南；</w:t>
      </w:r>
    </w:p>
    <w:p w14:paraId="02AF9E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（二）制定科研基地建设与运行管理办法，指导科研基地的建设与运行；</w:t>
      </w:r>
    </w:p>
    <w:p w14:paraId="132DFE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（三）负责科研基地的认定、评估和撤销。</w:t>
      </w:r>
    </w:p>
    <w:p w14:paraId="315B74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第九条</w:t>
      </w:r>
      <w:r>
        <w:rPr>
          <w:rFonts w:hint="eastAsia" w:ascii="仿宋_GB2312"/>
          <w:sz w:val="32"/>
          <w:szCs w:val="32"/>
        </w:rPr>
        <w:t xml:space="preserve">  省级文物行政部门是本行政区域内科研基地的组织单位，主要职责是： </w:t>
      </w:r>
    </w:p>
    <w:p w14:paraId="41D9F3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（一）将科研基地建设纳入本地区文物科技工作的重点；</w:t>
      </w:r>
    </w:p>
    <w:p w14:paraId="0424AA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（二）负责本地区申报科研基地的审核和推荐工作；</w:t>
      </w:r>
    </w:p>
    <w:p w14:paraId="07DC2D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（三）指导和监督科研基地的运行和管理；</w:t>
      </w:r>
    </w:p>
    <w:p w14:paraId="770FFF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（四）协助国家文物局进行科研基地的评估。</w:t>
      </w:r>
    </w:p>
    <w:p w14:paraId="5B7241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第十条</w:t>
      </w:r>
      <w:r>
        <w:rPr>
          <w:rFonts w:hint="eastAsia" w:ascii="仿宋_GB2312"/>
          <w:sz w:val="32"/>
          <w:szCs w:val="32"/>
        </w:rPr>
        <w:t xml:space="preserve">  依托单位是科研基地建设和运行管理的主体，主要职责是： </w:t>
      </w:r>
    </w:p>
    <w:p w14:paraId="6579BF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（一）将科研基地的建设和基本运行经费纳入本单位年度预算，提供人员、科研场所和仪器设备等条件保障；</w:t>
      </w:r>
    </w:p>
    <w:p w14:paraId="5E0D49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（二）聘任科研基地主任，组建科研基地学术委员会；</w:t>
      </w:r>
    </w:p>
    <w:p w14:paraId="4CA83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（三）制定科研基地管理章程，解决科研基地建设运行中的有关问题；</w:t>
      </w:r>
    </w:p>
    <w:p w14:paraId="1D34CF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（四）对科研基地进行年度考核，配合国家文物局做好科研基地运行评估。</w:t>
      </w:r>
    </w:p>
    <w:p w14:paraId="77A324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jc w:val="center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第三章 申报与认定</w:t>
      </w:r>
    </w:p>
    <w:p w14:paraId="0CEEAC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第十一条</w:t>
      </w:r>
      <w:r>
        <w:rPr>
          <w:rFonts w:hint="eastAsia" w:ascii="仿宋_GB2312"/>
          <w:sz w:val="32"/>
          <w:szCs w:val="32"/>
        </w:rPr>
        <w:t xml:space="preserve"> </w:t>
      </w:r>
      <w:r>
        <w:rPr>
          <w:rFonts w:ascii="仿宋_GB2312"/>
          <w:sz w:val="32"/>
          <w:szCs w:val="32"/>
        </w:rPr>
        <w:t xml:space="preserve"> </w:t>
      </w:r>
      <w:r>
        <w:rPr>
          <w:rFonts w:hint="eastAsia" w:ascii="仿宋_GB2312"/>
          <w:sz w:val="32"/>
          <w:szCs w:val="32"/>
        </w:rPr>
        <w:t>国家文物局根据科研基地发展规划，组织科研基地的申报和认定工作。</w:t>
      </w:r>
    </w:p>
    <w:p w14:paraId="01A91B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第十二条</w:t>
      </w:r>
      <w:r>
        <w:rPr>
          <w:rFonts w:hint="eastAsia" w:ascii="仿宋_GB2312"/>
          <w:sz w:val="32"/>
          <w:szCs w:val="32"/>
        </w:rPr>
        <w:t xml:space="preserve">  科研基地按照依托单位申报、组织单位推荐，国家文物局认定的程序产生。</w:t>
      </w:r>
    </w:p>
    <w:p w14:paraId="2068D1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第十三条</w:t>
      </w:r>
      <w:r>
        <w:rPr>
          <w:rFonts w:hint="eastAsia" w:ascii="仿宋_GB2312"/>
          <w:sz w:val="32"/>
          <w:szCs w:val="32"/>
        </w:rPr>
        <w:t xml:space="preserve">  拟申报的科研基地应具备以下条件：</w:t>
      </w:r>
    </w:p>
    <w:p w14:paraId="38F5D5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（一）符合科研基地建设指南，从事文物领域应用基础研究、应用技术研究和管理科学研究；</w:t>
      </w:r>
    </w:p>
    <w:p w14:paraId="2974B9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（二）在所申报的研究方向上有较强的研究实力，有能力承担文物领域重大科研任务；</w:t>
      </w:r>
    </w:p>
    <w:p w14:paraId="5A16B0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 xml:space="preserve">（三）具有结构合理的高水平科研队伍； </w:t>
      </w:r>
    </w:p>
    <w:p w14:paraId="5D80C4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（四）具备良好的科研试验条件，人员与用房集中，依托单位能够提供科研基地正常运转所需经费；</w:t>
      </w:r>
    </w:p>
    <w:p w14:paraId="008B0E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（五）依托单位具备有利于文物科技创新的管理机制。</w:t>
      </w:r>
    </w:p>
    <w:p w14:paraId="3E8ACC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 xml:space="preserve">第十四条  </w:t>
      </w:r>
      <w:r>
        <w:rPr>
          <w:rFonts w:hint="eastAsia" w:ascii="仿宋_GB2312"/>
          <w:sz w:val="32"/>
          <w:szCs w:val="32"/>
        </w:rPr>
        <w:t>科研基地按以下程序申报：</w:t>
      </w:r>
    </w:p>
    <w:p w14:paraId="5617A8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（一）依托单位按照科研基地建设指南，填写《国家文物局重点科研基地认定申请书》，上报组织单位；</w:t>
      </w:r>
    </w:p>
    <w:p w14:paraId="6E5805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（二）组织单位进行审核，择优推荐，上报国家文物局。</w:t>
      </w:r>
    </w:p>
    <w:p w14:paraId="7BE834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第十五条</w:t>
      </w:r>
      <w:r>
        <w:rPr>
          <w:rFonts w:hint="eastAsia" w:ascii="仿宋_GB2312"/>
          <w:sz w:val="32"/>
          <w:szCs w:val="32"/>
        </w:rPr>
        <w:t xml:space="preserve">  科研基地认定程序分为初评和终评两个环节：</w:t>
      </w:r>
    </w:p>
    <w:p w14:paraId="1246F8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（一）国家文物局组建专家组，专家组成员由相关研究方向的学术专家和管理专家组成，初评专家组为不少于11人的单数，终评专家组为不少于9人的单数；</w:t>
      </w:r>
    </w:p>
    <w:p w14:paraId="23D8E9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（二）国家文物局组织初评专家组对申报材料进行初审，产生终评候选单位名单后，组织召开终评会议；</w:t>
      </w:r>
    </w:p>
    <w:p w14:paraId="7D8E81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（三）终评专家组听取科研基地申请单位汇报、答辩，形成综合意见，确定优先次序，产生科研基地预备名单；</w:t>
      </w:r>
    </w:p>
    <w:p w14:paraId="6DB7C8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（四）国家文物局审定预备名单后，在国家文物局官方网站和《中国文物报》等媒体进行公示，公示期15天。</w:t>
      </w:r>
    </w:p>
    <w:p w14:paraId="342F85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第十六条</w:t>
      </w:r>
      <w:r>
        <w:rPr>
          <w:rFonts w:hint="eastAsia" w:ascii="仿宋_GB2312"/>
          <w:sz w:val="32"/>
          <w:szCs w:val="32"/>
        </w:rPr>
        <w:t xml:space="preserve">  公示期结束后，国家文物局公布科研基地认定名单，向依托单位颁发科研基地证书、授牌。</w:t>
      </w:r>
    </w:p>
    <w:p w14:paraId="209E6A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jc w:val="center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第四章 运行与管理</w:t>
      </w:r>
    </w:p>
    <w:p w14:paraId="3881C1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第十七条</w:t>
      </w:r>
      <w:r>
        <w:rPr>
          <w:rFonts w:hint="eastAsia" w:ascii="仿宋_GB2312"/>
          <w:sz w:val="32"/>
          <w:szCs w:val="32"/>
        </w:rPr>
        <w:t xml:space="preserve">  科研基地采用“开放、流动、联合、竞争”的运行机制，实行依托单位领导下的主任负责制。</w:t>
      </w:r>
    </w:p>
    <w:p w14:paraId="609B02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第十八条</w:t>
      </w:r>
      <w:r>
        <w:rPr>
          <w:rFonts w:hint="eastAsia" w:ascii="仿宋_GB2312"/>
          <w:sz w:val="32"/>
          <w:szCs w:val="32"/>
        </w:rPr>
        <w:t xml:space="preserve">  科研基地设主任，必要时应设一名专职副主任。主任和专职副主任由依托单位聘任，报组织单位和国家文物局备案。</w:t>
      </w:r>
    </w:p>
    <w:p w14:paraId="428DA0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sz w:val="32"/>
          <w:szCs w:val="32"/>
        </w:rPr>
        <w:t>科研基地专职副主任负责科研基地的日常管理。</w:t>
      </w:r>
    </w:p>
    <w:p w14:paraId="0B8CB7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第十九条</w:t>
      </w:r>
      <w:r>
        <w:rPr>
          <w:rFonts w:hint="eastAsia" w:ascii="仿宋_GB2312"/>
          <w:sz w:val="32"/>
          <w:szCs w:val="32"/>
        </w:rPr>
        <w:t xml:space="preserve">  科研基地主任应具有较高的学术水平和较强的组织协调能力，年龄一般不超过60岁。科研基地主任每届任期5年，连任不超过两届。</w:t>
      </w:r>
    </w:p>
    <w:p w14:paraId="15C184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第二十条</w:t>
      </w:r>
      <w:r>
        <w:rPr>
          <w:rFonts w:hint="eastAsia" w:ascii="仿宋_GB2312"/>
          <w:sz w:val="32"/>
          <w:szCs w:val="32"/>
        </w:rPr>
        <w:t xml:space="preserve">  科研基地由固定人员和流动人员组成。固定人员为本单位聘期两年以上（含两年）的全职人员，包括研究人员、技术人员和管理人员。流动人员包括访问学者、博士后研究人员等。</w:t>
      </w:r>
    </w:p>
    <w:p w14:paraId="7F6CFB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第二十一条</w:t>
      </w:r>
      <w:r>
        <w:rPr>
          <w:rFonts w:hint="eastAsia" w:ascii="仿宋_GB2312"/>
          <w:sz w:val="32"/>
          <w:szCs w:val="32"/>
        </w:rPr>
        <w:t xml:space="preserve">  科研基地设立学术委员会。学术委员会是科研基地的学术咨询机构，主要任务是审议科研基地的目标、研究方向、重大学术活动、年度工作。</w:t>
      </w:r>
    </w:p>
    <w:p w14:paraId="6828E0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第二十二条</w:t>
      </w:r>
      <w:r>
        <w:rPr>
          <w:rFonts w:hint="eastAsia" w:ascii="仿宋_GB2312"/>
          <w:sz w:val="32"/>
          <w:szCs w:val="32"/>
        </w:rPr>
        <w:t xml:space="preserve">  学术委员会主任和委员由依托单位聘任，报组织单位和国家文物局备案。</w:t>
      </w:r>
    </w:p>
    <w:p w14:paraId="4DBBB7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第二十三条</w:t>
      </w:r>
      <w:r>
        <w:rPr>
          <w:rFonts w:hint="eastAsia" w:ascii="仿宋_GB2312"/>
          <w:sz w:val="32"/>
          <w:szCs w:val="32"/>
        </w:rPr>
        <w:t xml:space="preserve">  科研基地采取多种形式开展国内外合作研究与学术交流，每年至少举办一次国内学术活动，鼓励举办国际学术交流活动。</w:t>
      </w:r>
    </w:p>
    <w:p w14:paraId="339CB2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第二十四条</w:t>
      </w:r>
      <w:r>
        <w:rPr>
          <w:rFonts w:hint="eastAsia" w:ascii="仿宋_GB2312"/>
          <w:sz w:val="32"/>
          <w:szCs w:val="32"/>
        </w:rPr>
        <w:t xml:space="preserve">  科研基地应加强知识产权管理。在科研基地完成的专著、论文、软件、数据库等研究成果均应标注科研基地名称，专利申请、成果转化、申报奖励等按国家有关规定办理。</w:t>
      </w:r>
    </w:p>
    <w:p w14:paraId="250D3D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第二十五条</w:t>
      </w:r>
      <w:r>
        <w:rPr>
          <w:rFonts w:hint="eastAsia" w:ascii="仿宋_GB2312"/>
          <w:sz w:val="32"/>
          <w:szCs w:val="32"/>
        </w:rPr>
        <w:t xml:space="preserve">  加强科研基地仪器设备的管理，提高使用效率。凡符合国家有关标准和具备开放条件的仪器设备，应对外开放。</w:t>
      </w:r>
    </w:p>
    <w:p w14:paraId="72E4FD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第二十六条</w:t>
      </w:r>
      <w:r>
        <w:rPr>
          <w:rFonts w:hint="eastAsia" w:ascii="仿宋_GB2312"/>
          <w:sz w:val="32"/>
          <w:szCs w:val="32"/>
        </w:rPr>
        <w:t xml:space="preserve">  科研基地应加强信息公开，通过网站建设，及时发布和更新科研基地规章制度、团队建设、学术委员会、科研成果及科研动态信息；每年发布科研基地年报。</w:t>
      </w:r>
    </w:p>
    <w:p w14:paraId="4C9B9A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jc w:val="center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第五章 考核与评估</w:t>
      </w:r>
    </w:p>
    <w:p w14:paraId="28B812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第二十七条</w:t>
      </w:r>
      <w:r>
        <w:rPr>
          <w:rFonts w:hint="eastAsia" w:ascii="仿宋_GB2312"/>
          <w:sz w:val="32"/>
          <w:szCs w:val="32"/>
        </w:rPr>
        <w:t xml:space="preserve">  依托单位应当对科研基地的工作进行年度考核，考核结果报组织单位备案。</w:t>
      </w:r>
    </w:p>
    <w:p w14:paraId="32BFC0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第二十八条</w:t>
      </w:r>
      <w:r>
        <w:rPr>
          <w:rFonts w:hint="eastAsia" w:ascii="仿宋_GB2312"/>
          <w:sz w:val="32"/>
          <w:szCs w:val="32"/>
        </w:rPr>
        <w:t xml:space="preserve">  国家文物局定期对科研基地进行运行评估。有关评估规则另行发布。</w:t>
      </w:r>
    </w:p>
    <w:p w14:paraId="59D7E3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/>
          <w:sz w:val="32"/>
          <w:szCs w:val="32"/>
        </w:rPr>
      </w:pPr>
      <w:r>
        <w:rPr>
          <w:rFonts w:hint="eastAsia" w:ascii="仿宋_GB2312"/>
          <w:b/>
          <w:sz w:val="32"/>
          <w:szCs w:val="32"/>
        </w:rPr>
        <w:t>第二十九条</w:t>
      </w:r>
      <w:r>
        <w:rPr>
          <w:rFonts w:hint="eastAsia" w:ascii="仿宋_GB2312"/>
          <w:sz w:val="32"/>
          <w:szCs w:val="32"/>
        </w:rPr>
        <w:t xml:space="preserve">  评估等级为不合格的科研基地，将撤销国家文物局重点科研基地资格。</w:t>
      </w:r>
    </w:p>
    <w:p w14:paraId="412E5B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0" w:firstLineChars="200"/>
        <w:jc w:val="center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第六章 附则</w:t>
      </w:r>
    </w:p>
    <w:p w14:paraId="733D9F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第三十条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科研基地统一命名为“××国家文物局重点科研基地（依托单位）”，英文名称为Key Scientific Research Base of ××（依托单位），State Administration of Cultural Heritage。</w:t>
      </w:r>
    </w:p>
    <w:p w14:paraId="26B9FC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1" w:rightChars="16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第三十一条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本办法由国家文物局负责解释。</w:t>
      </w:r>
    </w:p>
    <w:p w14:paraId="3D2FF3FC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第三十二条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本办法自发布之日起施行，原《国家文物局重点科研基地管理办法（试行）》（文物博函〔2004〕1081号）同时废止。</w:t>
      </w:r>
    </w:p>
    <w:p w14:paraId="5993D381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826FA6F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42F7F8">
    <w:pPr>
      <w:pStyle w:val="3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-59690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299977">
                          <w:pPr>
                            <w:pStyle w:val="3"/>
                            <w:ind w:left="319" w:right="10" w:rightChars="3" w:hanging="319" w:hangingChars="114"/>
                          </w:pPr>
                          <w:r>
                            <w:rPr>
                              <w:rStyle w:val="7"/>
                              <w:rFonts w:ascii="宋体" w:hAnsi="宋体" w:eastAsia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7"/>
                              <w:rFonts w:hint="eastAsia" w:ascii="宋体" w:hAnsi="宋体" w:eastAsia="宋体"/>
                              <w:sz w:val="28"/>
                              <w:szCs w:val="28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Style w:val="7"/>
                              <w:rFonts w:ascii="宋体" w:hAnsi="宋体" w:eastAsia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4.7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I2vodPUAAAABwEAAA8AAAAAAAAAAQAgAAAAIgAAAGRycy9kb3ducmV2&#10;LnhtbFBLAQIUABQAAAAIAIdO4kD0CSeXxwEAAJkDAAAOAAAAAAAAAAEAIAAAACMBAABkcnMvZTJv&#10;RG9jLnhtbFBLBQYAAAAABgAGAFkBAABc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B299977">
                    <w:pPr>
                      <w:pStyle w:val="3"/>
                      <w:ind w:left="319" w:right="10" w:rightChars="3" w:hanging="319" w:hangingChars="114"/>
                    </w:pPr>
                    <w:r>
                      <w:rPr>
                        <w:rStyle w:val="7"/>
                        <w:rFonts w:ascii="宋体" w:hAnsi="宋体" w:eastAsia="宋体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7"/>
                        <w:rFonts w:hint="eastAsia" w:ascii="宋体" w:hAnsi="宋体" w:eastAsia="宋体"/>
                        <w:sz w:val="28"/>
                        <w:szCs w:val="28"/>
                        <w:lang w:eastAsia="zh-CN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  <w:lang w:eastAsia="zh-CN"/>
                      </w:rPr>
                      <w:t xml:space="preserve"> </w:t>
                    </w:r>
                    <w:r>
                      <w:rPr>
                        <w:rStyle w:val="7"/>
                        <w:rFonts w:ascii="宋体" w:hAnsi="宋体" w:eastAsia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933AA4"/>
    <w:rsid w:val="69933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7">
    <w:name w:val="page number"/>
    <w:basedOn w:val="6"/>
    <w:uiPriority w:val="0"/>
    <w:rPr>
      <w:rFonts w:cs="Times New Roman"/>
    </w:rPr>
  </w:style>
  <w:style w:type="paragraph" w:customStyle="1" w:styleId="8">
    <w:name w:val="Char Char Char Char"/>
    <w:basedOn w:val="2"/>
    <w:qFormat/>
    <w:uiPriority w:val="0"/>
    <w:pPr>
      <w:snapToGrid w:val="0"/>
      <w:spacing w:before="240" w:after="240" w:line="348" w:lineRule="auto"/>
    </w:pPr>
    <w:rPr>
      <w:rFonts w:ascii="Tahoma" w:hAnsi="Tahoma" w:eastAsia="宋体"/>
      <w:bCs w:val="0"/>
      <w:kern w:val="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2026-07-06T09:15:00Z</dcterms:created>
  <dc:creator>刘易寒</dc:creator>
  <cp:lastModifiedBy>刘易寒</cp:lastModifiedBy>
  <dcterms:modified xsi:type="dcterms:W3CDTF">2026-07-06T09:15:43Z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391A0D266D2D4A66B83C6700FA4EAD17_11</vt:lpwstr>
  </property>
  <property fmtid="{D5CDD505-2E9C-101B-9397-08002B2CF9AE}" pid="4" name="KSOTemplateDocerSaveRecord">
    <vt:lpwstr>eyJoZGlkIjoiMjZlMDJlODA0MDJhOWE5OTBkNDU4OWVkOGVmY2Y3MjQiLCJ1c2VySWQiOiI2NzgyMzM3MzgifQ==</vt:lpwstr>
  </property>
</Properties>
</file>