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16" w:firstLineChars="50"/>
        <w:jc w:val="center"/>
        <w:textAlignment w:val="auto"/>
        <w:rPr>
          <w:rFonts w:ascii="方正小标宋简体" w:eastAsia="方正小标宋简体"/>
          <w:spacing w:val="-4"/>
          <w:sz w:val="44"/>
          <w:szCs w:val="44"/>
        </w:rPr>
      </w:pPr>
      <w:r>
        <w:rPr>
          <w:rFonts w:hint="eastAsia" w:ascii="方正小标宋简体" w:eastAsia="方正小标宋简体"/>
          <w:spacing w:val="-4"/>
          <w:sz w:val="44"/>
          <w:szCs w:val="44"/>
        </w:rPr>
        <w:t>文物博物馆单位受灾情况统计表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firstLine="602" w:firstLineChars="200"/>
        <w:textAlignment w:val="auto"/>
        <w:rPr>
          <w:rFonts w:hint="eastAsia" w:ascii="仿宋_GB2312" w:eastAsia="仿宋_GB2312"/>
          <w:sz w:val="30"/>
          <w:szCs w:val="30"/>
        </w:rPr>
      </w:pPr>
    </w:p>
    <w:p>
      <w:pPr>
        <w:spacing w:line="400" w:lineRule="exact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填表单位：（公章）                          年   月   日</w:t>
      </w:r>
    </w:p>
    <w:tbl>
      <w:tblPr>
        <w:tblStyle w:val="4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6"/>
        <w:gridCol w:w="1227"/>
        <w:gridCol w:w="1063"/>
        <w:gridCol w:w="1186"/>
        <w:gridCol w:w="2515"/>
        <w:gridCol w:w="14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661" w:type="pct"/>
            <w:vMerge w:val="restart"/>
            <w:noWrap w:val="0"/>
            <w:vAlign w:val="center"/>
          </w:tcPr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文物</w:t>
            </w:r>
          </w:p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博物馆</w:t>
            </w:r>
          </w:p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单位</w:t>
            </w:r>
          </w:p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受灾</w:t>
            </w:r>
          </w:p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情况</w:t>
            </w:r>
          </w:p>
        </w:tc>
        <w:tc>
          <w:tcPr>
            <w:tcW w:w="3516" w:type="pct"/>
            <w:gridSpan w:val="4"/>
            <w:noWrap w:val="0"/>
            <w:vAlign w:val="center"/>
          </w:tcPr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文物博物馆单位</w:t>
            </w:r>
          </w:p>
        </w:tc>
        <w:tc>
          <w:tcPr>
            <w:tcW w:w="822" w:type="pct"/>
            <w:noWrap w:val="0"/>
            <w:vAlign w:val="center"/>
          </w:tcPr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受灾数量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661" w:type="pct"/>
            <w:vMerge w:val="continue"/>
            <w:noWrap w:val="0"/>
            <w:vAlign w:val="center"/>
          </w:tcPr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0" w:type="pct"/>
            <w:vMerge w:val="restart"/>
            <w:noWrap w:val="0"/>
            <w:vAlign w:val="center"/>
          </w:tcPr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不可</w:t>
            </w:r>
          </w:p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移动</w:t>
            </w:r>
          </w:p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文物</w:t>
            </w:r>
          </w:p>
        </w:tc>
        <w:tc>
          <w:tcPr>
            <w:tcW w:w="2795" w:type="pct"/>
            <w:gridSpan w:val="3"/>
            <w:noWrap w:val="0"/>
            <w:vAlign w:val="center"/>
          </w:tcPr>
          <w:p>
            <w:pPr>
              <w:snapToGrid w:val="0"/>
              <w:spacing w:after="0" w:line="240" w:lineRule="auto"/>
              <w:ind w:firstLine="240" w:firstLineChars="100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世界文化遗产地（处）</w:t>
            </w:r>
          </w:p>
        </w:tc>
        <w:tc>
          <w:tcPr>
            <w:tcW w:w="822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661" w:type="pct"/>
            <w:vMerge w:val="continue"/>
            <w:noWrap w:val="0"/>
            <w:vAlign w:val="center"/>
          </w:tcPr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0" w:type="pct"/>
            <w:vMerge w:val="continue"/>
            <w:noWrap w:val="0"/>
            <w:vAlign w:val="center"/>
          </w:tcPr>
          <w:p>
            <w:pPr>
              <w:snapToGrid w:val="0"/>
              <w:spacing w:after="0" w:line="240" w:lineRule="auto"/>
              <w:jc w:val="center"/>
              <w:rPr>
                <w:rFonts w:hint="eastAsia"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2795" w:type="pct"/>
            <w:gridSpan w:val="3"/>
            <w:noWrap w:val="0"/>
            <w:vAlign w:val="center"/>
          </w:tcPr>
          <w:p>
            <w:pPr>
              <w:snapToGrid w:val="0"/>
              <w:spacing w:after="0" w:line="240" w:lineRule="auto"/>
              <w:ind w:firstLine="240" w:firstLineChars="100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全国重点文物保护单位（处）</w:t>
            </w:r>
          </w:p>
        </w:tc>
        <w:tc>
          <w:tcPr>
            <w:tcW w:w="822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661" w:type="pct"/>
            <w:vMerge w:val="continue"/>
            <w:noWrap w:val="0"/>
            <w:vAlign w:val="center"/>
          </w:tcPr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0" w:type="pct"/>
            <w:vMerge w:val="continue"/>
            <w:noWrap w:val="0"/>
            <w:vAlign w:val="center"/>
          </w:tcPr>
          <w:p>
            <w:pPr>
              <w:snapToGrid w:val="0"/>
              <w:spacing w:after="0" w:line="240" w:lineRule="auto"/>
              <w:jc w:val="center"/>
              <w:rPr>
                <w:rFonts w:hint="eastAsia"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2795" w:type="pct"/>
            <w:gridSpan w:val="3"/>
            <w:noWrap w:val="0"/>
            <w:vAlign w:val="center"/>
          </w:tcPr>
          <w:p>
            <w:pPr>
              <w:snapToGrid w:val="0"/>
              <w:spacing w:after="0" w:line="240" w:lineRule="auto"/>
              <w:ind w:firstLine="240" w:firstLineChars="100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省级文物保护单位(处)</w:t>
            </w:r>
          </w:p>
        </w:tc>
        <w:tc>
          <w:tcPr>
            <w:tcW w:w="822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  <w:jc w:val="center"/>
        </w:trPr>
        <w:tc>
          <w:tcPr>
            <w:tcW w:w="661" w:type="pct"/>
            <w:vMerge w:val="continue"/>
            <w:noWrap w:val="0"/>
            <w:vAlign w:val="center"/>
          </w:tcPr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0" w:type="pct"/>
            <w:vMerge w:val="continue"/>
            <w:noWrap w:val="0"/>
            <w:vAlign w:val="center"/>
          </w:tcPr>
          <w:p>
            <w:pPr>
              <w:snapToGrid w:val="0"/>
              <w:spacing w:after="0" w:line="240" w:lineRule="auto"/>
              <w:jc w:val="center"/>
              <w:rPr>
                <w:rFonts w:hint="eastAsia"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2795" w:type="pct"/>
            <w:gridSpan w:val="3"/>
            <w:noWrap w:val="0"/>
            <w:vAlign w:val="center"/>
          </w:tcPr>
          <w:p>
            <w:pPr>
              <w:snapToGrid w:val="0"/>
              <w:spacing w:after="0" w:line="240" w:lineRule="auto"/>
              <w:ind w:firstLine="240" w:firstLineChars="100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市、县级文物保护单位（处）</w:t>
            </w:r>
          </w:p>
        </w:tc>
        <w:tc>
          <w:tcPr>
            <w:tcW w:w="822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61" w:type="pct"/>
            <w:vMerge w:val="continue"/>
            <w:noWrap w:val="0"/>
            <w:vAlign w:val="center"/>
          </w:tcPr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0" w:type="pct"/>
            <w:vMerge w:val="continue"/>
            <w:noWrap w:val="0"/>
            <w:vAlign w:val="center"/>
          </w:tcPr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795" w:type="pct"/>
            <w:gridSpan w:val="3"/>
            <w:noWrap w:val="0"/>
            <w:vAlign w:val="center"/>
          </w:tcPr>
          <w:p>
            <w:pPr>
              <w:snapToGrid w:val="0"/>
              <w:spacing w:after="0" w:line="240" w:lineRule="auto"/>
              <w:ind w:firstLine="240" w:firstLineChars="100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未定级不可移动文物（处）</w:t>
            </w:r>
          </w:p>
        </w:tc>
        <w:tc>
          <w:tcPr>
            <w:tcW w:w="822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661" w:type="pct"/>
            <w:vMerge w:val="continue"/>
            <w:noWrap w:val="0"/>
            <w:vAlign w:val="center"/>
          </w:tcPr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0" w:type="pct"/>
            <w:vMerge w:val="restart"/>
            <w:noWrap w:val="0"/>
            <w:vAlign w:val="center"/>
          </w:tcPr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博</w:t>
            </w:r>
          </w:p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物</w:t>
            </w:r>
          </w:p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馆</w:t>
            </w:r>
          </w:p>
        </w:tc>
        <w:tc>
          <w:tcPr>
            <w:tcW w:w="2795" w:type="pct"/>
            <w:gridSpan w:val="3"/>
            <w:noWrap w:val="0"/>
            <w:vAlign w:val="center"/>
          </w:tcPr>
          <w:p>
            <w:pPr>
              <w:snapToGrid w:val="0"/>
              <w:spacing w:after="0" w:line="240" w:lineRule="auto"/>
              <w:ind w:firstLine="240" w:firstLineChars="10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博物馆、纪念馆（座）</w:t>
            </w:r>
          </w:p>
        </w:tc>
        <w:tc>
          <w:tcPr>
            <w:tcW w:w="822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661" w:type="pct"/>
            <w:vMerge w:val="continue"/>
            <w:noWrap w:val="0"/>
            <w:vAlign w:val="center"/>
          </w:tcPr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0" w:type="pct"/>
            <w:vMerge w:val="continue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1320" w:type="pct"/>
            <w:gridSpan w:val="2"/>
            <w:vMerge w:val="restart"/>
            <w:noWrap w:val="0"/>
            <w:vAlign w:val="center"/>
          </w:tcPr>
          <w:p>
            <w:pPr>
              <w:snapToGrid w:val="0"/>
              <w:spacing w:after="0" w:line="240" w:lineRule="auto"/>
              <w:ind w:left="717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受损</w:t>
            </w:r>
          </w:p>
          <w:p>
            <w:pPr>
              <w:snapToGrid w:val="0"/>
              <w:spacing w:after="0" w:line="240" w:lineRule="auto"/>
              <w:ind w:left="717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馆藏</w:t>
            </w:r>
          </w:p>
          <w:p>
            <w:pPr>
              <w:snapToGrid w:val="0"/>
              <w:spacing w:after="0" w:line="240" w:lineRule="auto"/>
              <w:ind w:left="717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文物</w:t>
            </w:r>
          </w:p>
        </w:tc>
        <w:tc>
          <w:tcPr>
            <w:tcW w:w="1475" w:type="pct"/>
            <w:noWrap w:val="0"/>
            <w:vAlign w:val="center"/>
          </w:tcPr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一级文物</w:t>
            </w:r>
          </w:p>
        </w:tc>
        <w:tc>
          <w:tcPr>
            <w:tcW w:w="822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  <w:jc w:val="center"/>
        </w:trPr>
        <w:tc>
          <w:tcPr>
            <w:tcW w:w="661" w:type="pct"/>
            <w:vMerge w:val="continue"/>
            <w:noWrap w:val="0"/>
            <w:vAlign w:val="center"/>
          </w:tcPr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0" w:type="pct"/>
            <w:vMerge w:val="continue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1320" w:type="pct"/>
            <w:gridSpan w:val="2"/>
            <w:vMerge w:val="continue"/>
            <w:noWrap w:val="0"/>
            <w:vAlign w:val="center"/>
          </w:tcPr>
          <w:p>
            <w:pPr>
              <w:snapToGrid w:val="0"/>
              <w:spacing w:after="0" w:line="240" w:lineRule="auto"/>
              <w:ind w:left="717"/>
              <w:rPr>
                <w:rFonts w:ascii="仿宋_GB2312" w:eastAsia="仿宋_GB2312"/>
                <w:sz w:val="24"/>
              </w:rPr>
            </w:pPr>
          </w:p>
        </w:tc>
        <w:tc>
          <w:tcPr>
            <w:tcW w:w="1475" w:type="pct"/>
            <w:noWrap w:val="0"/>
            <w:vAlign w:val="center"/>
          </w:tcPr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二级文物</w:t>
            </w:r>
          </w:p>
        </w:tc>
        <w:tc>
          <w:tcPr>
            <w:tcW w:w="822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661" w:type="pct"/>
            <w:vMerge w:val="continue"/>
            <w:noWrap w:val="0"/>
            <w:vAlign w:val="center"/>
          </w:tcPr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0" w:type="pct"/>
            <w:vMerge w:val="continue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1320" w:type="pct"/>
            <w:gridSpan w:val="2"/>
            <w:vMerge w:val="continue"/>
            <w:noWrap w:val="0"/>
            <w:vAlign w:val="center"/>
          </w:tcPr>
          <w:p>
            <w:pPr>
              <w:snapToGrid w:val="0"/>
              <w:spacing w:after="0" w:line="240" w:lineRule="auto"/>
              <w:ind w:left="717"/>
              <w:rPr>
                <w:rFonts w:ascii="仿宋_GB2312" w:eastAsia="仿宋_GB2312"/>
                <w:sz w:val="24"/>
              </w:rPr>
            </w:pPr>
          </w:p>
        </w:tc>
        <w:tc>
          <w:tcPr>
            <w:tcW w:w="1475" w:type="pct"/>
            <w:noWrap w:val="0"/>
            <w:vAlign w:val="center"/>
          </w:tcPr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三级文物</w:t>
            </w:r>
          </w:p>
        </w:tc>
        <w:tc>
          <w:tcPr>
            <w:tcW w:w="822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" w:hRule="atLeast"/>
          <w:jc w:val="center"/>
        </w:trPr>
        <w:tc>
          <w:tcPr>
            <w:tcW w:w="661" w:type="pct"/>
            <w:vMerge w:val="continue"/>
            <w:noWrap w:val="0"/>
            <w:vAlign w:val="center"/>
          </w:tcPr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0" w:type="pct"/>
            <w:vMerge w:val="continue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1320" w:type="pct"/>
            <w:gridSpan w:val="2"/>
            <w:vMerge w:val="continue"/>
            <w:noWrap w:val="0"/>
            <w:vAlign w:val="center"/>
          </w:tcPr>
          <w:p>
            <w:pPr>
              <w:snapToGrid w:val="0"/>
              <w:spacing w:after="0" w:line="240" w:lineRule="auto"/>
              <w:ind w:left="717"/>
              <w:rPr>
                <w:rFonts w:ascii="仿宋_GB2312" w:eastAsia="仿宋_GB2312"/>
                <w:sz w:val="24"/>
              </w:rPr>
            </w:pPr>
          </w:p>
        </w:tc>
        <w:tc>
          <w:tcPr>
            <w:tcW w:w="1475" w:type="pct"/>
            <w:noWrap w:val="0"/>
            <w:vAlign w:val="center"/>
          </w:tcPr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一般文物</w:t>
            </w:r>
          </w:p>
        </w:tc>
        <w:tc>
          <w:tcPr>
            <w:tcW w:w="822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  <w:jc w:val="center"/>
        </w:trPr>
        <w:tc>
          <w:tcPr>
            <w:tcW w:w="661" w:type="pct"/>
            <w:vMerge w:val="restart"/>
            <w:noWrap w:val="0"/>
            <w:vAlign w:val="center"/>
          </w:tcPr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文物</w:t>
            </w:r>
          </w:p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博物馆</w:t>
            </w:r>
          </w:p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单位</w:t>
            </w:r>
          </w:p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受灾</w:t>
            </w:r>
          </w:p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情况</w:t>
            </w:r>
          </w:p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统计</w:t>
            </w:r>
          </w:p>
        </w:tc>
        <w:tc>
          <w:tcPr>
            <w:tcW w:w="1344" w:type="pct"/>
            <w:gridSpan w:val="2"/>
            <w:noWrap w:val="0"/>
            <w:vAlign w:val="center"/>
          </w:tcPr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单位名称</w:t>
            </w:r>
          </w:p>
        </w:tc>
        <w:tc>
          <w:tcPr>
            <w:tcW w:w="696" w:type="pct"/>
            <w:noWrap w:val="0"/>
            <w:vAlign w:val="center"/>
          </w:tcPr>
          <w:p>
            <w:pPr>
              <w:snapToGrid w:val="0"/>
              <w:spacing w:after="0" w:line="240" w:lineRule="auto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级别</w:t>
            </w:r>
          </w:p>
        </w:tc>
        <w:tc>
          <w:tcPr>
            <w:tcW w:w="1475" w:type="pct"/>
            <w:noWrap w:val="0"/>
            <w:vAlign w:val="center"/>
          </w:tcPr>
          <w:p>
            <w:pPr>
              <w:snapToGrid w:val="0"/>
              <w:spacing w:after="0" w:line="240" w:lineRule="auto"/>
              <w:ind w:left="27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受损情况</w:t>
            </w:r>
          </w:p>
        </w:tc>
        <w:tc>
          <w:tcPr>
            <w:tcW w:w="822" w:type="pct"/>
            <w:noWrap w:val="0"/>
            <w:vAlign w:val="center"/>
          </w:tcPr>
          <w:p>
            <w:pPr>
              <w:snapToGrid w:val="0"/>
              <w:spacing w:after="0" w:line="240" w:lineRule="auto"/>
              <w:ind w:left="27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严重程度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661" w:type="pct"/>
            <w:vMerge w:val="continue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1344" w:type="pct"/>
            <w:gridSpan w:val="2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696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1475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822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661" w:type="pct"/>
            <w:vMerge w:val="continue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1344" w:type="pct"/>
            <w:gridSpan w:val="2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696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1475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822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661" w:type="pct"/>
            <w:vMerge w:val="continue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1344" w:type="pct"/>
            <w:gridSpan w:val="2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696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1475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822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661" w:type="pct"/>
            <w:vMerge w:val="continue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1344" w:type="pct"/>
            <w:gridSpan w:val="2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696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1475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822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661" w:type="pct"/>
            <w:vMerge w:val="continue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1344" w:type="pct"/>
            <w:gridSpan w:val="2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696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1475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822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661" w:type="pct"/>
            <w:vMerge w:val="continue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1344" w:type="pct"/>
            <w:gridSpan w:val="2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696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1475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822" w:type="pct"/>
            <w:noWrap w:val="0"/>
            <w:vAlign w:val="top"/>
          </w:tcPr>
          <w:p>
            <w:pPr>
              <w:snapToGrid w:val="0"/>
              <w:spacing w:after="0" w:line="240" w:lineRule="auto"/>
              <w:rPr>
                <w:rFonts w:ascii="仿宋_GB2312" w:eastAsia="仿宋_GB2312"/>
                <w:sz w:val="24"/>
              </w:rPr>
            </w:pPr>
          </w:p>
        </w:tc>
      </w:tr>
    </w:tbl>
    <w:p>
      <w:pPr>
        <w:snapToGrid w:val="0"/>
        <w:spacing w:after="0" w:line="240" w:lineRule="auto"/>
        <w:ind w:firstLine="0" w:firstLineChars="0"/>
        <w:rPr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注</w:t>
      </w:r>
      <w:r>
        <w:rPr>
          <w:rFonts w:hint="eastAsia" w:ascii="仿宋_GB2312" w:hAnsi="仿宋_GB2312" w:cs="仿宋_GB2312"/>
          <w:sz w:val="24"/>
          <w:szCs w:val="24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24"/>
          <w:szCs w:val="24"/>
        </w:rPr>
        <w:t>严重程度按以下三个等级划分：严重（大规模垮塌或存在重大结构风险）；比较严重（局部垮塌或存在其他结构风险）；一般（局部漏雨、裂缝、檐部损伤及掉落构件）</w:t>
      </w:r>
      <w:r>
        <w:rPr>
          <w:rFonts w:hint="eastAsia" w:ascii="仿宋_GB2312" w:hAnsi="仿宋_GB2312" w:cs="仿宋_GB2312"/>
          <w:sz w:val="24"/>
          <w:szCs w:val="24"/>
        </w:rPr>
        <w:t>。</w:t>
      </w: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altName w:val="华文仿宋"/>
    <w:panose1 w:val="02010600030101010101"/>
    <w:charset w:val="00"/>
    <w:family w:val="auto"/>
    <w:pitch w:val="default"/>
    <w:sig w:usb0="00000000" w:usb1="00000000" w:usb2="00000016" w:usb3="00000000" w:csb0="0004000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35B096D"/>
    <w:rsid w:val="4FE70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spacing w:after="0" w:line="276" w:lineRule="auto"/>
      <w:ind w:firstLine="624"/>
    </w:pPr>
    <w:rPr>
      <w:rFonts w:ascii="等线" w:hAnsi="等线" w:eastAsia="等线" w:cs="黑体"/>
      <w:szCs w:val="22"/>
    </w:rPr>
  </w:style>
  <w:style w:type="paragraph" w:styleId="3">
    <w:name w:val="Body Text"/>
    <w:basedOn w:val="1"/>
    <w:qFormat/>
    <w:uiPriority w:val="0"/>
    <w:pPr>
      <w:jc w:val="center"/>
    </w:pPr>
    <w:rPr>
      <w:b/>
      <w:sz w:val="4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2025-08-25T11:46:00Z</dcterms:created>
  <dc:creator>she</dc:creator>
  <cp:lastModifiedBy>wwj</cp:lastModifiedBy>
  <dcterms:modified xsi:type="dcterms:W3CDTF">2026-05-27T15:07:28Z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2052-11.8.2.10125</vt:lpwstr>
  </property>
</Properties>
</file>