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8BE4FA2">
      <w:pPr>
        <w:keepNext w:val="0"/>
        <w:keepLines w:val="0"/>
        <w:pageBreakBefore w:val="0"/>
        <w:widowControl w:val="0"/>
        <w:tabs>
          <w:tab w:val="left" w:pos="7680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jc w:val="both"/>
        <w:textAlignment w:val="auto"/>
        <w:outlineLvl w:val="9"/>
        <w:rPr>
          <w:rFonts w:hint="eastAsia" w:ascii="黑体" w:hAnsi="黑体" w:eastAsia="黑体" w:cs="黑体"/>
        </w:rPr>
      </w:pPr>
      <w:r>
        <w:rPr>
          <w:rFonts w:hint="eastAsia" w:ascii="黑体" w:hAnsi="黑体" w:eastAsia="黑体" w:cs="黑体"/>
        </w:rPr>
        <w:t>附件1</w:t>
      </w:r>
    </w:p>
    <w:p w14:paraId="4CBF8343">
      <w:pPr>
        <w:keepNext w:val="0"/>
        <w:keepLines w:val="0"/>
        <w:pageBreakBefore w:val="0"/>
        <w:widowControl w:val="0"/>
        <w:tabs>
          <w:tab w:val="left" w:pos="7680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jc w:val="both"/>
        <w:textAlignment w:val="auto"/>
        <w:outlineLvl w:val="9"/>
        <w:rPr>
          <w:rFonts w:hint="eastAsia" w:ascii="仿宋_GB2312" w:hAnsi="仿宋_GB2312" w:eastAsia="仿宋_GB2312" w:cs="仿宋_GB2312"/>
        </w:rPr>
      </w:pPr>
    </w:p>
    <w:p w14:paraId="26C95A16">
      <w:pPr>
        <w:keepNext w:val="0"/>
        <w:keepLines w:val="0"/>
        <w:pageBreakBefore w:val="0"/>
        <w:widowControl w:val="0"/>
        <w:tabs>
          <w:tab w:val="left" w:pos="7680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  <w:bookmarkStart w:id="0" w:name="_GoBack"/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2025年度文物事业高质量发展案例指南</w:t>
      </w:r>
      <w:bookmarkEnd w:id="0"/>
    </w:p>
    <w:p w14:paraId="6DE7661D">
      <w:pPr>
        <w:keepNext w:val="0"/>
        <w:keepLines w:val="0"/>
        <w:pageBreakBefore w:val="0"/>
        <w:widowControl w:val="0"/>
        <w:tabs>
          <w:tab w:val="left" w:pos="7680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jc w:val="both"/>
        <w:textAlignment w:val="auto"/>
        <w:outlineLvl w:val="9"/>
        <w:rPr>
          <w:rFonts w:hint="eastAsia" w:ascii="仿宋_GB2312" w:hAnsi="仿宋_GB2312" w:eastAsia="仿宋_GB2312" w:cs="仿宋_GB2312"/>
        </w:rPr>
      </w:pPr>
    </w:p>
    <w:p w14:paraId="2FA3568F">
      <w:pPr>
        <w:keepNext w:val="0"/>
        <w:keepLines w:val="0"/>
        <w:pageBreakBefore w:val="0"/>
        <w:widowControl w:val="0"/>
        <w:tabs>
          <w:tab w:val="left" w:pos="7680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</w:rPr>
      </w:pPr>
      <w:r>
        <w:rPr>
          <w:rFonts w:hint="eastAsia" w:ascii="仿宋_GB2312" w:hAnsi="仿宋_GB2312" w:eastAsia="仿宋_GB2312" w:cs="仿宋_GB2312"/>
        </w:rPr>
        <w:t>2025年度文物事业高质量发展案例应牢牢把握“十四五”圆满收官、“十五五”接续奋斗的历史方位和重要使命，着重展现创新、协调、绿色、开放、共享的新发展理念在文物工作的典型场景，推动文物系统性保护和传承利用，为建设文化强国、基本实现社会主义现代化作出贡献。</w:t>
      </w:r>
    </w:p>
    <w:p w14:paraId="42013820">
      <w:pPr>
        <w:keepNext w:val="0"/>
        <w:keepLines w:val="0"/>
        <w:pageBreakBefore w:val="0"/>
        <w:widowControl w:val="0"/>
        <w:tabs>
          <w:tab w:val="left" w:pos="7680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outlineLvl w:val="9"/>
        <w:rPr>
          <w:rFonts w:hint="eastAsia" w:ascii="黑体" w:hAnsi="黑体" w:eastAsia="黑体" w:cs="黑体"/>
        </w:rPr>
      </w:pPr>
      <w:r>
        <w:rPr>
          <w:rFonts w:hint="eastAsia" w:ascii="黑体" w:hAnsi="黑体" w:eastAsia="黑体" w:cs="黑体"/>
        </w:rPr>
        <w:t>一、创新发展类</w:t>
      </w:r>
    </w:p>
    <w:p w14:paraId="2711AE13">
      <w:pPr>
        <w:keepNext w:val="0"/>
        <w:keepLines w:val="0"/>
        <w:pageBreakBefore w:val="0"/>
        <w:widowControl w:val="0"/>
        <w:tabs>
          <w:tab w:val="left" w:pos="7680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</w:rPr>
      </w:pPr>
      <w:r>
        <w:rPr>
          <w:rFonts w:hint="eastAsia" w:ascii="仿宋_GB2312" w:hAnsi="仿宋_GB2312" w:eastAsia="仿宋_GB2312" w:cs="仿宋_GB2312"/>
        </w:rPr>
        <w:t>加强文物理论创新、制度创新、实践创新、科技创新，进一步全面深化文物领域各项改革，破除体制机制束缚，提高文物保护综合能力，推动实现类型多样、分布广泛、产权复杂的文物资源应保尽保的现代化。</w:t>
      </w:r>
    </w:p>
    <w:p w14:paraId="1AD524E8">
      <w:pPr>
        <w:keepNext w:val="0"/>
        <w:keepLines w:val="0"/>
        <w:pageBreakBefore w:val="0"/>
        <w:widowControl w:val="0"/>
        <w:tabs>
          <w:tab w:val="left" w:pos="7680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</w:rPr>
      </w:pPr>
      <w:r>
        <w:rPr>
          <w:rFonts w:hint="eastAsia" w:ascii="仿宋_GB2312" w:hAnsi="仿宋_GB2312" w:eastAsia="仿宋_GB2312" w:cs="仿宋_GB2312"/>
        </w:rPr>
        <w:t>1.谋划构建文物领域中国自主知识体系，以标识性概念和原创性理论为重点，推动习近平总书记关于文物工作重要论述学理化研究阐释，深化对文物工作的规律性认识，推出高水平研究成果，指导实践、促进发展；</w:t>
      </w:r>
    </w:p>
    <w:p w14:paraId="1D8CB708">
      <w:pPr>
        <w:keepNext w:val="0"/>
        <w:keepLines w:val="0"/>
        <w:pageBreakBefore w:val="0"/>
        <w:widowControl w:val="0"/>
        <w:tabs>
          <w:tab w:val="left" w:pos="7680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</w:rPr>
      </w:pPr>
      <w:r>
        <w:rPr>
          <w:rFonts w:hint="eastAsia" w:ascii="仿宋_GB2312" w:hAnsi="仿宋_GB2312" w:eastAsia="仿宋_GB2312" w:cs="仿宋_GB2312"/>
        </w:rPr>
        <w:t>2.健全文化遗产保护传承体制机制，贯彻实施新修订的文物保护法，完善法规制度体系，加强工作力量配备和资源要素整合，在以政策、法规破除制约事业发展的体制机制障碍方面取得积极成效；</w:t>
      </w:r>
    </w:p>
    <w:p w14:paraId="655C91BE">
      <w:pPr>
        <w:keepNext w:val="0"/>
        <w:keepLines w:val="0"/>
        <w:pageBreakBefore w:val="0"/>
        <w:widowControl w:val="0"/>
        <w:tabs>
          <w:tab w:val="left" w:pos="7680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</w:rPr>
      </w:pPr>
      <w:r>
        <w:rPr>
          <w:rFonts w:hint="eastAsia" w:ascii="仿宋_GB2312" w:hAnsi="仿宋_GB2312" w:eastAsia="仿宋_GB2312" w:cs="仿宋_GB2312"/>
        </w:rPr>
        <w:t>3.推动结构性改革创新，从人力资源、资金投入、基础设施等方面改善文物领域要素质量和配置效率，有力支撑文物系统性保护、科学化管理、创新性传承；</w:t>
      </w:r>
    </w:p>
    <w:p w14:paraId="28507806">
      <w:pPr>
        <w:keepNext w:val="0"/>
        <w:keepLines w:val="0"/>
        <w:pageBreakBefore w:val="0"/>
        <w:widowControl w:val="0"/>
        <w:tabs>
          <w:tab w:val="left" w:pos="7680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</w:rPr>
      </w:pPr>
      <w:r>
        <w:rPr>
          <w:rFonts w:hint="eastAsia" w:ascii="仿宋_GB2312" w:hAnsi="仿宋_GB2312" w:eastAsia="仿宋_GB2312" w:cs="仿宋_GB2312"/>
        </w:rPr>
        <w:t>4.在文物“防、保、研、管、用”等基础研究和急用关键共性技术攻关应用、专有装备研制推广等方面有创新性突破；等等。</w:t>
      </w:r>
    </w:p>
    <w:p w14:paraId="48E920A3">
      <w:pPr>
        <w:keepNext w:val="0"/>
        <w:keepLines w:val="0"/>
        <w:pageBreakBefore w:val="0"/>
        <w:widowControl w:val="0"/>
        <w:tabs>
          <w:tab w:val="left" w:pos="7680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outlineLvl w:val="9"/>
        <w:rPr>
          <w:rFonts w:hint="eastAsia" w:ascii="黑体" w:hAnsi="黑体" w:eastAsia="黑体" w:cs="黑体"/>
        </w:rPr>
      </w:pPr>
      <w:r>
        <w:rPr>
          <w:rFonts w:hint="eastAsia" w:ascii="黑体" w:hAnsi="黑体" w:eastAsia="黑体" w:cs="黑体"/>
        </w:rPr>
        <w:t>二、协调发展类</w:t>
      </w:r>
    </w:p>
    <w:p w14:paraId="3C6CE9D1">
      <w:pPr>
        <w:keepNext w:val="0"/>
        <w:keepLines w:val="0"/>
        <w:pageBreakBefore w:val="0"/>
        <w:widowControl w:val="0"/>
        <w:tabs>
          <w:tab w:val="left" w:pos="7680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</w:rPr>
      </w:pPr>
      <w:r>
        <w:rPr>
          <w:rFonts w:hint="eastAsia" w:ascii="仿宋_GB2312" w:hAnsi="仿宋_GB2312" w:eastAsia="仿宋_GB2312" w:cs="仿宋_GB2312"/>
        </w:rPr>
        <w:t>凝聚多方力量，均衡配置资源，补短板、挖潜力，促进公共文化服务均等化便捷化，统筹文物保护与经济社会发展，助推区域协调发展、城乡协调发展，推动实现文物保护管理水平全面提升的现代化。</w:t>
      </w:r>
    </w:p>
    <w:p w14:paraId="24DEFB85">
      <w:pPr>
        <w:keepNext w:val="0"/>
        <w:keepLines w:val="0"/>
        <w:pageBreakBefore w:val="0"/>
        <w:widowControl w:val="0"/>
        <w:tabs>
          <w:tab w:val="left" w:pos="7680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</w:rPr>
      </w:pPr>
      <w:r>
        <w:rPr>
          <w:rFonts w:hint="eastAsia" w:ascii="仿宋_GB2312" w:hAnsi="仿宋_GB2312" w:eastAsia="仿宋_GB2312" w:cs="仿宋_GB2312"/>
        </w:rPr>
        <w:t>1.统筹文物保护与老城保护、城市更新、乡村振兴等，落实“先考古、后出让”“先调查、后建设”制度取得实效，加强文物保护工程事中事后监管，深化文物领域“放管服”改革，提高治理效能，在依法保护文物前提下保障重大项目实施；</w:t>
      </w:r>
    </w:p>
    <w:p w14:paraId="3DE3FA4B">
      <w:pPr>
        <w:keepNext w:val="0"/>
        <w:keepLines w:val="0"/>
        <w:pageBreakBefore w:val="0"/>
        <w:widowControl w:val="0"/>
        <w:tabs>
          <w:tab w:val="left" w:pos="7680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</w:rPr>
      </w:pPr>
      <w:r>
        <w:rPr>
          <w:rFonts w:hint="eastAsia" w:ascii="仿宋_GB2312" w:hAnsi="仿宋_GB2312" w:eastAsia="仿宋_GB2312" w:cs="仿宋_GB2312"/>
        </w:rPr>
        <w:t>2.推动文物工作融入京津冀协同发展、黄河流域生态保护和高质量发展、长江经济带发展、粤港澳大湾区建设、东北振兴等区域重大战略；</w:t>
      </w:r>
    </w:p>
    <w:p w14:paraId="1A1A4517">
      <w:pPr>
        <w:keepNext w:val="0"/>
        <w:keepLines w:val="0"/>
        <w:pageBreakBefore w:val="0"/>
        <w:widowControl w:val="0"/>
        <w:tabs>
          <w:tab w:val="left" w:pos="7680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</w:rPr>
      </w:pPr>
      <w:r>
        <w:rPr>
          <w:rFonts w:hint="eastAsia" w:ascii="仿宋_GB2312" w:hAnsi="仿宋_GB2312" w:eastAsia="仿宋_GB2312" w:cs="仿宋_GB2312"/>
        </w:rPr>
        <w:t>3.推动文物与非物质文化遗产、文物与其他物质文化遗产整体性系统性保护，开展线性文化遗产保护利用、区域文明谱系阐释展示；</w:t>
      </w:r>
    </w:p>
    <w:p w14:paraId="300ABD18">
      <w:pPr>
        <w:keepNext w:val="0"/>
        <w:keepLines w:val="0"/>
        <w:pageBreakBefore w:val="0"/>
        <w:widowControl w:val="0"/>
        <w:tabs>
          <w:tab w:val="left" w:pos="7680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</w:rPr>
      </w:pPr>
      <w:r>
        <w:rPr>
          <w:rFonts w:hint="eastAsia" w:ascii="仿宋_GB2312" w:hAnsi="仿宋_GB2312" w:eastAsia="仿宋_GB2312" w:cs="仿宋_GB2312"/>
        </w:rPr>
        <w:t>4.统筹推进不同层级、属性、类型博物馆均衡化、差异化发展，做实做细中小博物馆提升计划，缓解场馆“冷热不均”问题；等等。</w:t>
      </w:r>
    </w:p>
    <w:p w14:paraId="71BA7F38">
      <w:pPr>
        <w:keepNext w:val="0"/>
        <w:keepLines w:val="0"/>
        <w:pageBreakBefore w:val="0"/>
        <w:widowControl w:val="0"/>
        <w:tabs>
          <w:tab w:val="left" w:pos="7680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outlineLvl w:val="9"/>
        <w:rPr>
          <w:rFonts w:hint="eastAsia" w:ascii="黑体" w:hAnsi="黑体" w:eastAsia="黑体" w:cs="黑体"/>
        </w:rPr>
      </w:pPr>
      <w:r>
        <w:rPr>
          <w:rFonts w:hint="eastAsia" w:ascii="黑体" w:hAnsi="黑体" w:eastAsia="黑体" w:cs="黑体"/>
        </w:rPr>
        <w:t>三、绿色发展类</w:t>
      </w:r>
    </w:p>
    <w:p w14:paraId="4615ABFD">
      <w:pPr>
        <w:keepNext w:val="0"/>
        <w:keepLines w:val="0"/>
        <w:pageBreakBefore w:val="0"/>
        <w:widowControl w:val="0"/>
        <w:tabs>
          <w:tab w:val="left" w:pos="7680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</w:rPr>
      </w:pPr>
      <w:r>
        <w:rPr>
          <w:rFonts w:hint="eastAsia" w:ascii="仿宋_GB2312" w:hAnsi="仿宋_GB2312" w:eastAsia="仿宋_GB2312" w:cs="仿宋_GB2312"/>
        </w:rPr>
        <w:t>节约资源、保护环境、提高效益，形成绿色低碳发展方式，促进人与自然和谐共生，推动实现文物保护和生态环境相得益彰的现代化。</w:t>
      </w:r>
    </w:p>
    <w:p w14:paraId="0A070D96">
      <w:pPr>
        <w:keepNext w:val="0"/>
        <w:keepLines w:val="0"/>
        <w:pageBreakBefore w:val="0"/>
        <w:widowControl w:val="0"/>
        <w:tabs>
          <w:tab w:val="left" w:pos="7680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</w:rPr>
      </w:pPr>
      <w:r>
        <w:rPr>
          <w:rFonts w:hint="eastAsia" w:ascii="仿宋_GB2312" w:hAnsi="仿宋_GB2312" w:eastAsia="仿宋_GB2312" w:cs="仿宋_GB2312"/>
        </w:rPr>
        <w:t>1.积极参与城乡建设绿色低碳转型，依托老旧建筑改建博物馆纪念馆；</w:t>
      </w:r>
    </w:p>
    <w:p w14:paraId="06B5E31A">
      <w:pPr>
        <w:keepNext w:val="0"/>
        <w:keepLines w:val="0"/>
        <w:pageBreakBefore w:val="0"/>
        <w:widowControl w:val="0"/>
        <w:tabs>
          <w:tab w:val="left" w:pos="7680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</w:rPr>
      </w:pPr>
      <w:r>
        <w:rPr>
          <w:rFonts w:hint="eastAsia" w:ascii="仿宋_GB2312" w:hAnsi="仿宋_GB2312" w:eastAsia="仿宋_GB2312" w:cs="仿宋_GB2312"/>
        </w:rPr>
        <w:t>2.大力推行低碳建造方式、低碳技术、绿色建材、绿色施工；</w:t>
      </w:r>
    </w:p>
    <w:p w14:paraId="77DBB084">
      <w:pPr>
        <w:keepNext w:val="0"/>
        <w:keepLines w:val="0"/>
        <w:pageBreakBefore w:val="0"/>
        <w:widowControl w:val="0"/>
        <w:tabs>
          <w:tab w:val="left" w:pos="7680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</w:rPr>
      </w:pPr>
      <w:r>
        <w:rPr>
          <w:rFonts w:hint="eastAsia" w:ascii="仿宋_GB2312" w:hAnsi="仿宋_GB2312" w:eastAsia="仿宋_GB2312" w:cs="仿宋_GB2312"/>
        </w:rPr>
        <w:t>3.广泛推广文博单位低碳运营，分区分时精细化管理；</w:t>
      </w:r>
    </w:p>
    <w:p w14:paraId="42440603">
      <w:pPr>
        <w:keepNext w:val="0"/>
        <w:keepLines w:val="0"/>
        <w:pageBreakBefore w:val="0"/>
        <w:widowControl w:val="0"/>
        <w:tabs>
          <w:tab w:val="left" w:pos="7680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</w:rPr>
      </w:pPr>
      <w:r>
        <w:rPr>
          <w:rFonts w:hint="eastAsia" w:ascii="仿宋_GB2312" w:hAnsi="仿宋_GB2312" w:eastAsia="仿宋_GB2312" w:cs="仿宋_GB2312"/>
        </w:rPr>
        <w:t>4.有效传承文物保护传统材料、营造技艺；等等。</w:t>
      </w:r>
    </w:p>
    <w:p w14:paraId="39830A44">
      <w:pPr>
        <w:keepNext w:val="0"/>
        <w:keepLines w:val="0"/>
        <w:pageBreakBefore w:val="0"/>
        <w:widowControl w:val="0"/>
        <w:tabs>
          <w:tab w:val="left" w:pos="7680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outlineLvl w:val="9"/>
        <w:rPr>
          <w:rFonts w:hint="eastAsia" w:ascii="黑体" w:hAnsi="黑体" w:eastAsia="黑体" w:cs="黑体"/>
        </w:rPr>
      </w:pPr>
      <w:r>
        <w:rPr>
          <w:rFonts w:hint="eastAsia" w:ascii="黑体" w:hAnsi="黑体" w:eastAsia="黑体" w:cs="黑体"/>
        </w:rPr>
        <w:t>四、开放发展类</w:t>
      </w:r>
    </w:p>
    <w:p w14:paraId="4B5538F9">
      <w:pPr>
        <w:keepNext w:val="0"/>
        <w:keepLines w:val="0"/>
        <w:pageBreakBefore w:val="0"/>
        <w:widowControl w:val="0"/>
        <w:tabs>
          <w:tab w:val="left" w:pos="7680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</w:rPr>
      </w:pPr>
      <w:r>
        <w:rPr>
          <w:rFonts w:hint="eastAsia" w:ascii="仿宋_GB2312" w:hAnsi="仿宋_GB2312" w:eastAsia="仿宋_GB2312" w:cs="仿宋_GB2312"/>
        </w:rPr>
        <w:t>落实全球文明倡议，拓展文物对外交流合作平台，统筹“走出去”和“引进来”，以文物故事展现可信、可爱、可敬的中国形象，提升中华文明传播力影响力，推动实现尊重世界文明多样性、促进人类文明交流互鉴的现代化。</w:t>
      </w:r>
    </w:p>
    <w:p w14:paraId="1A1D2E33">
      <w:pPr>
        <w:keepNext w:val="0"/>
        <w:keepLines w:val="0"/>
        <w:pageBreakBefore w:val="0"/>
        <w:widowControl w:val="0"/>
        <w:tabs>
          <w:tab w:val="left" w:pos="7680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</w:rPr>
      </w:pPr>
      <w:r>
        <w:rPr>
          <w:rFonts w:hint="eastAsia" w:ascii="仿宋_GB2312" w:hAnsi="仿宋_GB2312" w:eastAsia="仿宋_GB2312" w:cs="仿宋_GB2312"/>
        </w:rPr>
        <w:t>1.主动策划选题，联合开展文物进出境展览，以国际表达讲好中国故事，展现中国话语和中国叙事体系，展示中华文明的发展脉络、灿烂成就、重大贡献，弘扬中华文化蕴含的全人类共同价值；</w:t>
      </w:r>
    </w:p>
    <w:p w14:paraId="1D65F57B">
      <w:pPr>
        <w:keepNext w:val="0"/>
        <w:keepLines w:val="0"/>
        <w:pageBreakBefore w:val="0"/>
        <w:widowControl w:val="0"/>
        <w:tabs>
          <w:tab w:val="left" w:pos="7680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</w:rPr>
      </w:pPr>
      <w:r>
        <w:rPr>
          <w:rFonts w:hint="eastAsia" w:ascii="仿宋_GB2312" w:hAnsi="仿宋_GB2312" w:eastAsia="仿宋_GB2312" w:cs="仿宋_GB2312"/>
        </w:rPr>
        <w:t>2.配合“一带一路”倡议，开展联合考古、文物保护修复、文明比较研究等取得标志性成果，促进同共建国家人民“心联通”；</w:t>
      </w:r>
    </w:p>
    <w:p w14:paraId="16A4307D">
      <w:pPr>
        <w:keepNext w:val="0"/>
        <w:keepLines w:val="0"/>
        <w:pageBreakBefore w:val="0"/>
        <w:widowControl w:val="0"/>
        <w:tabs>
          <w:tab w:val="left" w:pos="7680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</w:rPr>
      </w:pPr>
      <w:r>
        <w:rPr>
          <w:rFonts w:hint="eastAsia" w:ascii="仿宋_GB2312" w:hAnsi="仿宋_GB2312" w:eastAsia="仿宋_GB2312" w:cs="仿宋_GB2312"/>
        </w:rPr>
        <w:t>3.策划制作语种多、覆盖广、反响好的文物音视频作品、出版物等，提升中华文明国际传播引导力影响力公信力；等等。</w:t>
      </w:r>
    </w:p>
    <w:p w14:paraId="2A36F621">
      <w:pPr>
        <w:keepNext w:val="0"/>
        <w:keepLines w:val="0"/>
        <w:pageBreakBefore w:val="0"/>
        <w:widowControl w:val="0"/>
        <w:tabs>
          <w:tab w:val="left" w:pos="7680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outlineLvl w:val="9"/>
        <w:rPr>
          <w:rFonts w:hint="eastAsia" w:ascii="黑体" w:hAnsi="黑体" w:eastAsia="黑体" w:cs="黑体"/>
        </w:rPr>
      </w:pPr>
      <w:r>
        <w:rPr>
          <w:rFonts w:hint="eastAsia" w:ascii="黑体" w:hAnsi="黑体" w:eastAsia="黑体" w:cs="黑体"/>
        </w:rPr>
        <w:t>五、共享发展类</w:t>
      </w:r>
    </w:p>
    <w:p w14:paraId="38C6D404">
      <w:pPr>
        <w:keepNext w:val="0"/>
        <w:keepLines w:val="0"/>
        <w:pageBreakBefore w:val="0"/>
        <w:widowControl w:val="0"/>
        <w:tabs>
          <w:tab w:val="left" w:pos="7680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</w:rPr>
      </w:pPr>
      <w:r>
        <w:rPr>
          <w:rFonts w:hint="eastAsia" w:ascii="仿宋_GB2312" w:hAnsi="仿宋_GB2312" w:eastAsia="仿宋_GB2312" w:cs="仿宋_GB2312"/>
        </w:rPr>
        <w:t>坚持文物属于人民、服务人民，主动盘活用好文物资源，鼓励引导社会力量参与，让文物事业可知可感可见可参与，提高全社会文明程度，促进人的全面发展，推动实现人民精神生活共同富裕的现代化。</w:t>
      </w:r>
    </w:p>
    <w:p w14:paraId="5D4A34A2">
      <w:pPr>
        <w:keepNext w:val="0"/>
        <w:keepLines w:val="0"/>
        <w:pageBreakBefore w:val="0"/>
        <w:widowControl w:val="0"/>
        <w:tabs>
          <w:tab w:val="left" w:pos="7680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</w:rPr>
      </w:pPr>
      <w:r>
        <w:rPr>
          <w:rFonts w:hint="eastAsia" w:ascii="仿宋_GB2312" w:hAnsi="仿宋_GB2312" w:eastAsia="仿宋_GB2312" w:cs="仿宋_GB2312"/>
        </w:rPr>
        <w:t>1.深化文物资源免费共享、素材共用、知识共研、共同开发；</w:t>
      </w:r>
    </w:p>
    <w:p w14:paraId="1CBBD5C5">
      <w:pPr>
        <w:keepNext w:val="0"/>
        <w:keepLines w:val="0"/>
        <w:pageBreakBefore w:val="0"/>
        <w:widowControl w:val="0"/>
        <w:tabs>
          <w:tab w:val="left" w:pos="7680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</w:rPr>
      </w:pPr>
      <w:r>
        <w:rPr>
          <w:rFonts w:hint="eastAsia" w:ascii="仿宋_GB2312" w:hAnsi="仿宋_GB2312" w:eastAsia="仿宋_GB2312" w:cs="仿宋_GB2312"/>
        </w:rPr>
        <w:t>2.出台奖励补助、减税降费、贷款贴息、购买服务等政策，支持社会力量深度参与文物保护利用取得可持续成效；</w:t>
      </w:r>
    </w:p>
    <w:p w14:paraId="38A6516C">
      <w:pPr>
        <w:keepNext w:val="0"/>
        <w:keepLines w:val="0"/>
        <w:pageBreakBefore w:val="0"/>
        <w:widowControl w:val="0"/>
        <w:tabs>
          <w:tab w:val="left" w:pos="7680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</w:rPr>
      </w:pPr>
      <w:r>
        <w:rPr>
          <w:rFonts w:hint="eastAsia" w:ascii="仿宋_GB2312" w:hAnsi="仿宋_GB2312" w:eastAsia="仿宋_GB2312" w:cs="仿宋_GB2312"/>
        </w:rPr>
        <w:t>3.丰富展览、教育、研学、文创、鉴定等高品质、多样化产品与服务供给，推动文物保护与文化旅游融合发展，赋能社会经济发展；</w:t>
      </w:r>
    </w:p>
    <w:p w14:paraId="49F7731C">
      <w:r>
        <w:rPr>
          <w:rFonts w:hint="eastAsia" w:ascii="仿宋_GB2312" w:hAnsi="仿宋_GB2312" w:eastAsia="仿宋_GB2312" w:cs="仿宋_GB2312"/>
        </w:rPr>
        <w:t>4.依托文物资源积极构建中华文明标识体系，推出更多文博类广电节目、新闻专题和新媒体产品；等等。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F38E9E3A-B5BB-4959-A0C3-5DC310A6BB41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  <w:embedRegular r:id="rId2" w:fontKey="{C9E03717-5504-4FB1-ABE8-C393BE54F628}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  <w:embedRegular r:id="rId3" w:fontKey="{1A181933-17C2-434F-B4A7-8B209F01BAD3}"/>
  </w:font>
  <w:font w:name="方正小标宋简体">
    <w:panose1 w:val="02000000000000000000"/>
    <w:charset w:val="86"/>
    <w:family w:val="script"/>
    <w:pitch w:val="default"/>
    <w:sig w:usb0="00000001" w:usb1="08000000" w:usb2="00000000" w:usb3="00000000" w:csb0="00040000" w:csb1="00000000"/>
    <w:embedRegular r:id="rId4" w:fontKey="{A9F38979-241F-4728-90AB-99361B67248D}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KSOFE44F9426">
    <w:panose1 w:val="02010609060101010101"/>
    <w:charset w:val="86"/>
    <w:family w:val="auto"/>
    <w:pitch w:val="default"/>
    <w:sig w:usb0="00000001" w:usb1="00000000" w:usb2="00000000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A210C3E"/>
    <w:rsid w:val="5A210C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qFormat="1"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仿宋_GB2312" w:cs="Times New Roman"/>
      <w:kern w:val="2"/>
      <w:sz w:val="32"/>
      <w:szCs w:val="32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Salutation"/>
    <w:basedOn w:val="1"/>
    <w:next w:val="1"/>
    <w:qFormat/>
    <w:uiPriority w:val="0"/>
    <w:pPr>
      <w:suppressAutoHyphens/>
      <w:bidi w:val="0"/>
      <w:jc w:val="both"/>
      <w:textAlignment w:val="baseline"/>
    </w:pPr>
    <w:rPr>
      <w:rFonts w:ascii="Times New Roman" w:hAnsi="Times New Roman" w:eastAsia="宋体"/>
      <w:color w:val="000000"/>
      <w:kern w:val="2"/>
      <w:sz w:val="21"/>
      <w:szCs w:val="24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2026-03-23T09:41:00Z</dcterms:created>
  <dc:creator>hui</dc:creator>
  <cp:lastModifiedBy>hui</cp:lastModifiedBy>
  <dcterms:modified xsi:type="dcterms:W3CDTF">2026-03-23T09:41:34Z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D5BDBC80C50542AA89382D96D2A12051_11</vt:lpwstr>
  </property>
  <property fmtid="{D5CDD505-2E9C-101B-9397-08002B2CF9AE}" pid="4" name="KSOTemplateDocerSaveRecord">
    <vt:lpwstr>eyJoZGlkIjoiYWUwMWIxOGY2YWU1NWM0NzljZWRkMmQxOGM2N2NhMDciLCJ1c2VySWQiOiIzMjM2ODUzNTMifQ==</vt:lpwstr>
  </property>
</Properties>
</file>