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61C91">
      <w:pPr>
        <w:tabs>
          <w:tab w:val="left" w:pos="5812"/>
          <w:tab w:val="left" w:pos="6946"/>
          <w:tab w:val="left" w:pos="7088"/>
        </w:tabs>
        <w:spacing w:line="560" w:lineRule="exact"/>
        <w:ind w:right="1280" w:rightChars="400"/>
        <w:rPr>
          <w:rFonts w:hint="eastAsia" w:eastAsia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46A025DF">
      <w:pPr>
        <w:snapToGrid w:val="0"/>
        <w:spacing w:before="100" w:beforeAutospacing="1" w:after="100" w:afterAutospacing="1" w:line="324" w:lineRule="auto"/>
        <w:ind w:firstLine="5920" w:firstLineChars="1850"/>
        <w:rPr>
          <w:rFonts w:eastAsia="仿宋"/>
          <w:sz w:val="32"/>
          <w:szCs w:val="32"/>
        </w:rPr>
      </w:pPr>
    </w:p>
    <w:p w14:paraId="7B833B0C">
      <w:pPr>
        <w:snapToGrid w:val="0"/>
        <w:spacing w:before="100" w:beforeAutospacing="1" w:after="100" w:afterAutospacing="1" w:line="600" w:lineRule="exact"/>
        <w:jc w:val="center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</w:rPr>
        <w:t>202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 w:cs="宋体"/>
          <w:b/>
          <w:sz w:val="44"/>
          <w:szCs w:val="44"/>
        </w:rPr>
        <w:t>年度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文物事业高质量发展案例</w:t>
      </w:r>
    </w:p>
    <w:p w14:paraId="3DF68711">
      <w:pPr>
        <w:snapToGrid w:val="0"/>
        <w:spacing w:before="100" w:beforeAutospacing="1" w:after="100" w:afterAutospacing="1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申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报</w:t>
      </w:r>
      <w:r>
        <w:rPr>
          <w:rFonts w:hint="eastAsia" w:ascii="宋体" w:hAnsi="宋体" w:cs="宋体"/>
          <w:b/>
          <w:sz w:val="44"/>
          <w:szCs w:val="44"/>
        </w:rPr>
        <w:t xml:space="preserve"> 书</w:t>
      </w:r>
    </w:p>
    <w:p w14:paraId="21B7088B">
      <w:pPr>
        <w:snapToGrid w:val="0"/>
        <w:spacing w:before="100" w:beforeAutospacing="1" w:after="100" w:afterAutospacing="1"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5FA92F26">
      <w:pPr>
        <w:snapToGrid w:val="0"/>
        <w:spacing w:before="100" w:beforeAutospacing="1" w:after="100" w:afterAutospacing="1" w:line="400" w:lineRule="exact"/>
        <w:ind w:firstLine="320" w:firstLineChars="100"/>
        <w:jc w:val="left"/>
        <w:rPr>
          <w:rFonts w:eastAsia="仿宋"/>
          <w:sz w:val="32"/>
        </w:rPr>
      </w:pPr>
    </w:p>
    <w:p w14:paraId="17A9AD4C">
      <w:pPr>
        <w:snapToGrid w:val="0"/>
        <w:spacing w:before="100" w:beforeAutospacing="1" w:after="100" w:afterAutospacing="1" w:line="400" w:lineRule="exact"/>
        <w:ind w:firstLine="320" w:firstLineChars="100"/>
        <w:jc w:val="left"/>
        <w:rPr>
          <w:rFonts w:eastAsia="黑体"/>
          <w:sz w:val="32"/>
        </w:rPr>
      </w:pPr>
      <w:r>
        <w:rPr>
          <w:rFonts w:hint="eastAsia" w:eastAsia="黑体"/>
          <w:sz w:val="32"/>
          <w:lang w:eastAsia="zh-CN"/>
        </w:rPr>
        <w:t>案例</w:t>
      </w:r>
      <w:r>
        <w:rPr>
          <w:rFonts w:hint="eastAsia" w:eastAsia="黑体"/>
          <w:sz w:val="32"/>
        </w:rPr>
        <w:t>名称：</w:t>
      </w:r>
      <w:r>
        <w:rPr>
          <w:rFonts w:eastAsia="黑体"/>
          <w:sz w:val="32"/>
        </w:rPr>
        <w:t xml:space="preserve"> </w:t>
      </w:r>
    </w:p>
    <w:p w14:paraId="160536B3">
      <w:pPr>
        <w:snapToGrid w:val="0"/>
        <w:spacing w:before="100" w:beforeAutospacing="1" w:after="100" w:afterAutospacing="1" w:line="400" w:lineRule="exact"/>
        <w:rPr>
          <w:rFonts w:eastAsia="黑体"/>
          <w:sz w:val="32"/>
        </w:rPr>
      </w:pPr>
    </w:p>
    <w:p w14:paraId="46DC8C71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楷体_GB2312"/>
          <w:sz w:val="32"/>
        </w:rPr>
      </w:pPr>
      <w:r>
        <w:rPr>
          <w:rFonts w:hint="eastAsia" w:eastAsia="黑体"/>
          <w:sz w:val="32"/>
        </w:rPr>
        <w:t>申报单位：</w:t>
      </w:r>
      <w:r>
        <w:rPr>
          <w:rFonts w:eastAsia="黑体"/>
          <w:sz w:val="32"/>
        </w:rPr>
        <w:t xml:space="preserve">                 </w:t>
      </w:r>
      <w:r>
        <w:rPr>
          <w:rFonts w:eastAsia="楷体_GB2312"/>
          <w:sz w:val="32"/>
        </w:rPr>
        <w:t xml:space="preserve"> </w:t>
      </w:r>
      <w:r>
        <w:rPr>
          <w:rFonts w:hint="eastAsia" w:eastAsia="楷体_GB2312"/>
          <w:sz w:val="32"/>
        </w:rPr>
        <w:t>（公章）</w:t>
      </w:r>
    </w:p>
    <w:p w14:paraId="3D5930C8">
      <w:pPr>
        <w:snapToGrid w:val="0"/>
        <w:spacing w:before="100" w:beforeAutospacing="1" w:after="100" w:afterAutospacing="1" w:line="400" w:lineRule="exact"/>
        <w:rPr>
          <w:rFonts w:eastAsia="黑体"/>
          <w:sz w:val="32"/>
          <w:szCs w:val="20"/>
        </w:rPr>
      </w:pPr>
    </w:p>
    <w:p w14:paraId="75118A67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黑体"/>
          <w:sz w:val="32"/>
        </w:rPr>
      </w:pPr>
      <w:r>
        <w:rPr>
          <w:rFonts w:hint="eastAsia" w:eastAsia="黑体"/>
          <w:sz w:val="32"/>
          <w:lang w:eastAsia="zh-CN"/>
        </w:rPr>
        <w:t>申报</w:t>
      </w:r>
      <w:r>
        <w:rPr>
          <w:rFonts w:hint="eastAsia" w:eastAsia="黑体"/>
          <w:sz w:val="32"/>
        </w:rPr>
        <w:t>日期：</w:t>
      </w:r>
    </w:p>
    <w:p w14:paraId="76C453DD">
      <w:pPr>
        <w:snapToGrid w:val="0"/>
        <w:spacing w:before="100" w:beforeAutospacing="1" w:after="100" w:afterAutospacing="1" w:line="400" w:lineRule="exact"/>
        <w:rPr>
          <w:rFonts w:eastAsia="仿宋"/>
          <w:sz w:val="32"/>
        </w:rPr>
      </w:pPr>
    </w:p>
    <w:p w14:paraId="5040312A">
      <w:pPr>
        <w:snapToGrid w:val="0"/>
        <w:spacing w:before="100" w:beforeAutospacing="1" w:after="100" w:afterAutospacing="1" w:line="400" w:lineRule="exact"/>
        <w:rPr>
          <w:rFonts w:eastAsia="仿宋"/>
          <w:sz w:val="32"/>
        </w:rPr>
      </w:pPr>
    </w:p>
    <w:p w14:paraId="26A391B0">
      <w:pPr>
        <w:snapToGrid w:val="0"/>
        <w:spacing w:before="100" w:beforeAutospacing="1" w:after="100" w:afterAutospacing="1" w:line="400" w:lineRule="exact"/>
        <w:rPr>
          <w:rFonts w:eastAsia="仿宋"/>
          <w:sz w:val="32"/>
        </w:rPr>
      </w:pPr>
    </w:p>
    <w:p w14:paraId="0060E3F0">
      <w:pPr>
        <w:snapToGrid w:val="0"/>
        <w:spacing w:before="100" w:beforeAutospacing="1" w:after="100" w:afterAutospacing="1" w:line="500" w:lineRule="exact"/>
        <w:jc w:val="center"/>
        <w:rPr>
          <w:rFonts w:eastAsia="仿宋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国家文物局 </w:t>
      </w:r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eastAsia="黑体"/>
          <w:sz w:val="36"/>
          <w:szCs w:val="36"/>
        </w:rPr>
        <w:t>制</w:t>
      </w:r>
    </w:p>
    <w:p w14:paraId="399770F1">
      <w:p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0A13E238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04251CB8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案例情况</w:t>
      </w:r>
    </w:p>
    <w:p w14:paraId="010BB078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7261"/>
      </w:tblGrid>
      <w:tr w14:paraId="118D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30F17447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案例名称</w:t>
            </w:r>
          </w:p>
        </w:tc>
        <w:tc>
          <w:tcPr>
            <w:tcW w:w="7261" w:type="dxa"/>
            <w:noWrap w:val="0"/>
            <w:vAlign w:val="top"/>
          </w:tcPr>
          <w:p w14:paraId="2C13534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59E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25A9A76F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主题类别</w:t>
            </w:r>
          </w:p>
        </w:tc>
        <w:tc>
          <w:tcPr>
            <w:tcW w:w="7261" w:type="dxa"/>
            <w:noWrap w:val="0"/>
            <w:vAlign w:val="top"/>
          </w:tcPr>
          <w:p w14:paraId="0F457BB7">
            <w:pPr>
              <w:spacing w:line="276" w:lineRule="auto"/>
              <w:ind w:left="-298" w:leftChars="-93" w:firstLine="473" w:firstLineChars="148"/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eastAsia="zh-CN"/>
              </w:rPr>
              <w:t>创新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eastAsia="zh-CN"/>
              </w:rPr>
              <w:t>协调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eastAsia="zh-CN"/>
              </w:rPr>
              <w:t>绿色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eastAsia="zh-CN"/>
              </w:rPr>
              <w:t>开放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eastAsia="zh-CN"/>
              </w:rPr>
              <w:t>共享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 xml:space="preserve"> </w:t>
            </w:r>
          </w:p>
        </w:tc>
      </w:tr>
      <w:tr w14:paraId="2B6D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49080D9A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lang w:eastAsia="zh-CN"/>
              </w:rPr>
              <w:t>背景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情况</w:t>
            </w:r>
          </w:p>
        </w:tc>
        <w:tc>
          <w:tcPr>
            <w:tcW w:w="7261" w:type="dxa"/>
            <w:noWrap w:val="0"/>
            <w:vAlign w:val="top"/>
          </w:tcPr>
          <w:p w14:paraId="0BFC381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包括案例实施的背景，案例实施单位的基本情况，取得的主要成效。（800字左右）</w:t>
            </w:r>
          </w:p>
          <w:p w14:paraId="6DC0844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6C4FC2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64BC1F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650CF76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C2A6EB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492AA0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2762C0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A9A11A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C40BCC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F1E5AE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40E3D0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1564A67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5A39F19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1B6AD1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7DB1E6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43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63A0B144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主要做法</w:t>
            </w:r>
          </w:p>
        </w:tc>
        <w:tc>
          <w:tcPr>
            <w:tcW w:w="7261" w:type="dxa"/>
            <w:noWrap w:val="0"/>
            <w:vAlign w:val="top"/>
          </w:tcPr>
          <w:p w14:paraId="038289A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案例推动文物事业高质量发展的主要措施、工作过程，解决的主要问题，主要创新点等。</w:t>
            </w:r>
          </w:p>
          <w:p w14:paraId="114A882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（2200字以内）</w:t>
            </w:r>
          </w:p>
          <w:p w14:paraId="59BD60D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604F09E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7492FE3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05E97D4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5C58007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559CFAB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6E71D60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1055BD2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613948F3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3E5868DF">
            <w:pP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7CDAF5AC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0DFDAC25">
            <w:pP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1C4E1801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20F66AEB">
            <w:pP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14A4EC15">
            <w:pPr>
              <w:pStyle w:val="5"/>
              <w:rPr>
                <w:rFonts w:hint="eastAsia"/>
                <w:lang w:eastAsia="zh-CN"/>
              </w:rPr>
            </w:pPr>
          </w:p>
          <w:p w14:paraId="324203E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6CA634C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0AF293E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12D66BF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139F472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0C8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0" w:hRule="atLeast"/>
          <w:jc w:val="center"/>
        </w:trPr>
        <w:tc>
          <w:tcPr>
            <w:tcW w:w="1799" w:type="dxa"/>
            <w:noWrap w:val="0"/>
            <w:vAlign w:val="top"/>
          </w:tcPr>
          <w:p w14:paraId="2F72F6FF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经验总结</w:t>
            </w:r>
          </w:p>
        </w:tc>
        <w:tc>
          <w:tcPr>
            <w:tcW w:w="7261" w:type="dxa"/>
            <w:noWrap w:val="0"/>
            <w:vAlign w:val="top"/>
          </w:tcPr>
          <w:p w14:paraId="425F6A6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对主要做法、取得的成绩、存在的问题进行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lang w:eastAsia="zh-CN"/>
              </w:rPr>
              <w:t>思考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，做出经验总结，提炼一般意义，对宣传推介工作作出计划。</w:t>
            </w:r>
          </w:p>
          <w:p w14:paraId="0011A0E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</w:rPr>
              <w:t>（1000字以内）</w:t>
            </w:r>
          </w:p>
          <w:p w14:paraId="10CD893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lang w:eastAsia="zh-CN"/>
              </w:rPr>
            </w:pPr>
          </w:p>
          <w:p w14:paraId="0A5B652F">
            <w:pP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13A9963D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411CE3C5">
            <w:pPr>
              <w:rPr>
                <w:rFonts w:hint="eastAsia"/>
                <w:lang w:eastAsia="zh-CN"/>
              </w:rPr>
            </w:pPr>
          </w:p>
          <w:p w14:paraId="4263F7E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4D82691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6DD8C6C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7D944F5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66806EC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2F0275E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bookmarkEnd w:id="0"/>
          </w:p>
          <w:p w14:paraId="28F6683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  <w:p w14:paraId="23BF6A7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36A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7DCC3197"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申报单位联系人及联系方式</w:t>
            </w:r>
          </w:p>
        </w:tc>
        <w:tc>
          <w:tcPr>
            <w:tcW w:w="7261" w:type="dxa"/>
            <w:noWrap w:val="0"/>
            <w:vAlign w:val="top"/>
          </w:tcPr>
          <w:p w14:paraId="703A5F5E">
            <w:pPr>
              <w:spacing w:line="44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>联系人：</w:t>
            </w:r>
          </w:p>
          <w:p w14:paraId="0C99D3C5">
            <w:pPr>
              <w:spacing w:line="44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>联系电话：</w:t>
            </w:r>
          </w:p>
          <w:p w14:paraId="087CB0B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>联系单位：</w:t>
            </w:r>
          </w:p>
        </w:tc>
      </w:tr>
      <w:tr w14:paraId="39EF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26994686">
            <w:pPr>
              <w:jc w:val="left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材料目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录</w:t>
            </w:r>
          </w:p>
        </w:tc>
        <w:tc>
          <w:tcPr>
            <w:tcW w:w="7261" w:type="dxa"/>
            <w:noWrap w:val="0"/>
            <w:vAlign w:val="top"/>
          </w:tcPr>
          <w:p w14:paraId="49F808D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>（含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eastAsia="zh-CN"/>
              </w:rPr>
              <w:t>案例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>相关佐证材料、获奖情况等）</w:t>
            </w:r>
          </w:p>
        </w:tc>
      </w:tr>
      <w:tr w14:paraId="1741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9" w:type="dxa"/>
            <w:noWrap w:val="0"/>
            <w:vAlign w:val="top"/>
          </w:tcPr>
          <w:p w14:paraId="0B5E221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备  注</w:t>
            </w:r>
          </w:p>
        </w:tc>
        <w:tc>
          <w:tcPr>
            <w:tcW w:w="7261" w:type="dxa"/>
            <w:noWrap w:val="0"/>
            <w:vAlign w:val="top"/>
          </w:tcPr>
          <w:p w14:paraId="4056D87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84F580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7CF12B-8D67-4442-B7F5-F354840A3D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CA284AD-93B2-4B15-A4DC-074EFFC796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56FEA8D-E3F5-482F-99FA-1C7F6C5835B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B734B8E-1C38-4BEB-A2F3-584326F74B0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5153DE1-7AD0-40C9-9282-D82E5A0C186E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92668D44-75DA-49C6-B803-56683A42B9AF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C261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-59690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0F969">
                          <w:pPr>
                            <w:pStyle w:val="3"/>
                            <w:ind w:left="319" w:right="10" w:rightChars="3" w:hanging="319" w:hangingChars="114"/>
                          </w:pPr>
                          <w:r>
                            <w:rPr>
                              <w:rStyle w:val="10"/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0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0"/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2vodPUAAAABwEAAA8AAAAAAAAAAQAgAAAAIgAAAGRycy9kb3ducmV2&#10;LnhtbFBLAQIUABQAAAAIAIdO4kD0CSeXxwEAAJkDAAAOAAAAAAAAAAEAIAAAACM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20F969">
                    <w:pPr>
                      <w:pStyle w:val="3"/>
                      <w:ind w:left="319" w:right="10" w:rightChars="3" w:hanging="319" w:hangingChars="114"/>
                    </w:pPr>
                    <w:r>
                      <w:rPr>
                        <w:rStyle w:val="10"/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0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0"/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1047C"/>
    <w:rsid w:val="4A11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uppressAutoHyphens/>
      <w:bidi w:val="0"/>
      <w:jc w:val="both"/>
      <w:textAlignment w:val="baseline"/>
    </w:pPr>
    <w:rPr>
      <w:rFonts w:ascii="Times New Roman" w:hAnsi="Times New Roman" w:eastAsia="宋体"/>
      <w:color w:val="000000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unhideWhenUsed/>
    <w:qFormat/>
    <w:uiPriority w:val="39"/>
    <w:rPr>
      <w:rFonts w:ascii="等线" w:hAnsi="等线" w:eastAsia="等线" w:cs="Times New Roman"/>
      <w:sz w:val="21"/>
      <w:szCs w:val="2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2025-01-21T12:11:00Z</dcterms:created>
  <dc:creator>Dazzle</dc:creator>
  <cp:lastModifiedBy>Dazzle</cp:lastModifiedBy>
  <dcterms:modified xsi:type="dcterms:W3CDTF">2025-01-21T12:13:55Z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751F7ECE5DD3483C98BD2BD76EB10453_11</vt:lpwstr>
  </property>
  <property fmtid="{D5CDD505-2E9C-101B-9397-08002B2CF9AE}" pid="4" name="KSOTemplateDocerSaveRecord">
    <vt:lpwstr>eyJoZGlkIjoiYzYwNzA0ZTU1Zjg2YTYzOWIyMjY2YzMwNmVjNTgxY2IiLCJ1c2VySWQiOiIzOTE0NTU3MjkifQ==</vt:lpwstr>
  </property>
</Properties>
</file>