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exact"/>
        <w:ind w:right="0" w:firstLine="0" w:firstLineChars="0"/>
        <w:jc w:val="left"/>
        <w:rPr>
          <w:rFonts w:hint="eastAsia" w:ascii="黑体" w:hAnsi="黑体" w:eastAsia="黑体" w:cs="黑体"/>
          <w:color w:val="auto"/>
          <w:spacing w:val="1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pacing w:val="10"/>
          <w:kern w:val="0"/>
          <w:sz w:val="32"/>
          <w:szCs w:val="32"/>
          <w:u w:val="none"/>
          <w:lang w:val="en-US" w:eastAsia="zh-CN" w:bidi="ar"/>
        </w:rPr>
        <w:t>附件3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3325"/>
        <w:gridCol w:w="1822"/>
        <w:gridCol w:w="1131"/>
        <w:gridCol w:w="17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906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2023年度文物事业高质量发展案例推荐名单汇总表</w:t>
            </w:r>
          </w:p>
          <w:p>
            <w:pPr>
              <w:widowControl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省级文物行政部门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/中央有关文博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单位等（盖章）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：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联系人及联系电话：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申报类别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联系人及</w:t>
            </w:r>
          </w:p>
          <w:p>
            <w:pPr>
              <w:keepNext w:val="0"/>
              <w:keepLines w:val="0"/>
              <w:widowControl/>
              <w:suppressLineNumbers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right="1402" w:rightChars="438"/>
        <w:jc w:val="right"/>
        <w:textAlignment w:val="auto"/>
        <w:outlineLvl w:val="9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DA1ZDIwMTE5YWU5MmU0M2IxZmYyYzZiYTgxYTAifQ=="/>
  </w:docVars>
  <w:rsids>
    <w:rsidRoot w:val="1A293321"/>
    <w:rsid w:val="1A29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suppressAutoHyphens/>
      <w:bidi w:val="0"/>
      <w:jc w:val="both"/>
      <w:textAlignment w:val="baseline"/>
    </w:pPr>
    <w:rPr>
      <w:rFonts w:ascii="Times New Roman" w:hAnsi="Times New Roman" w:eastAsia="宋体"/>
      <w:color w:val="000000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2024-03-13T07:46:00Z</dcterms:created>
  <dc:creator>刘易寒</dc:creator>
  <cp:lastModifiedBy>刘易寒</cp:lastModifiedBy>
  <dcterms:modified xsi:type="dcterms:W3CDTF">2024-03-13T07:47:21Z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66698FB5D35C41FE882E2BF67862D015_11</vt:lpwstr>
  </property>
</Properties>
</file>