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黑体" w:hAnsi="黑体" w:eastAsia="黑体" w:cs="黑体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  <w:t>附件3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6"/>
        <w:gridCol w:w="3325"/>
        <w:gridCol w:w="1822"/>
        <w:gridCol w:w="1131"/>
        <w:gridCol w:w="17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  <w:jc w:val="center"/>
        </w:trPr>
        <w:tc>
          <w:tcPr>
            <w:tcW w:w="906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</w:pPr>
          </w:p>
          <w:p>
            <w:pPr>
              <w:adjustRightInd/>
              <w:snapToGrid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  <w:t>2023年度文物事业高质量发展案例推荐名单汇总表</w:t>
            </w:r>
          </w:p>
          <w:p>
            <w:pPr>
              <w:widowControl/>
              <w:adjustRightInd/>
              <w:snapToGrid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both"/>
              <w:textAlignment w:val="auto"/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省级文物行政部门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val="en-US" w:eastAsia="zh-CN"/>
              </w:rPr>
              <w:t>/中央有关文博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单位等（盖章）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</w:rPr>
              <w:t>：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联系人及联系电话：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案例名称</w:t>
            </w: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申报类别</w:t>
            </w: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联系人及</w:t>
            </w:r>
          </w:p>
          <w:p>
            <w:pPr>
              <w:keepNext w:val="0"/>
              <w:keepLines w:val="0"/>
              <w:widowControl/>
              <w:suppressLineNumbers w:val="0"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1A293321"/>
    <w:rsid w:val="1A293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2024-03-13T07:46:00Z</dcterms:created>
  <dc:creator>刘易寒</dc:creator>
  <cp:lastModifiedBy>刘易寒</cp:lastModifiedBy>
  <dcterms:modified xsi:type="dcterms:W3CDTF">2024-03-13T07:47:21Z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66698FB5D35C41FE882E2BF67862D015_11</vt:lpwstr>
  </property>
</Properties>
</file>