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eastAsia="zh-CN"/>
        </w:rPr>
        <w:t>附件</w:t>
      </w:r>
      <w:r>
        <w:rPr>
          <w:rFonts w:hint="eastAsia" w:ascii="黑体" w:hAnsi="黑体" w:eastAsia="黑体" w:cs="黑体"/>
          <w:b w:val="0"/>
          <w:bCs w:val="0"/>
          <w:color w:val="000000"/>
          <w:sz w:val="32"/>
          <w:szCs w:val="32"/>
          <w:lang w:val="en-US" w:eastAsia="zh-CN"/>
        </w:rPr>
        <w:t>2</w:t>
      </w: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rPr>
          <w:color w:val="000000"/>
          <w:sz w:val="28"/>
          <w:szCs w:val="28"/>
        </w:rPr>
      </w:pPr>
      <w:bookmarkStart w:id="3" w:name="_GoBack"/>
      <w:r>
        <w:rPr>
          <w:rFonts w:hint="eastAsia" w:ascii="方正小标宋简体" w:hAnsi="Calibri" w:eastAsia="方正小标宋简体" w:cs="Times New Roman"/>
          <w:color w:val="000000"/>
          <w:sz w:val="44"/>
          <w:szCs w:val="44"/>
        </w:rPr>
        <w:t>博物馆运行评估标准</w:t>
      </w:r>
    </w:p>
    <w:bookmarkEnd w:id="3"/>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1.范围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本标准规定了对定级博物馆开展运行评估所使用的指标和评价方法。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本标准适用于博物馆行业组织针对定级博物馆开展的博物馆运行评估工作。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文物主管部门、博物馆行业组织针对未定级博物馆开展运行评估工作可参照本标准确定的指标和方法进行。</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2.规范性引用文件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下列文件中的内容通过文中的规范性引用而构成本文件必不可少的条款。其中，注日期的引用文件，仅该日期对应的版本适用于本文件；不注日期的引用文件，其最新版本（包括所有的修改单）适用于本文件。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《国家基本公共服务标准（2021年版）》（发改社会〔2021〕443号）</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GA 27-2002《文物系统博物馆风险等级和安全防护级别的规定》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GB/T 17775-2003 《旅游景区质量等级的划分与评定》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GB/T 22528-2008《文物保护单位开放服务规范》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WW/T 0020-2008 《文物藏品档案规范》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GB/T 23863-2009 《博物馆照明设计规范》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GB/T 23862-2009《文物运输包装规范》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GB/T 28227.2-2011《文化服务质量管理体系实施指南第2部分：室内博物馆》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GB/T 16571-2012《博物馆和文物保护单位安全防范系统要求》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GB/T 30234-2013《文物展品标牌》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WW/T 0017-2013《馆藏文物登录规范》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JGJ 66-2015《博物馆建筑设计规范》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GB/T 36721-2018《博物馆开放服务规范》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WW/T 0088-2018《博物馆展览内容设计规范》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WW/T 0089-2018《博物馆陈列展览形式设计与施工规范》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WW/T 0092-2018《博物馆运行评估指标》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GB/T 22239-2019《信息安全技术</w:t>
      </w:r>
      <w:r>
        <w:rPr>
          <w:rFonts w:hint="eastAsia" w:ascii="仿宋_GB2312" w:hAnsi="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网络安全等级保护基本要求》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《博物馆定级评估标准（2019年12月）》（文物博发〔2020〕2号）</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3.术语和定义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 博物馆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以教育、研究和欣赏为目的，收藏、保护并向公众展示人类活动和自然环境的见证物，经登记管理机关依法登记的非营利组织。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 定级博物馆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依据《博物馆定级评估办法》参加博物馆定级评估并取得“一、二、三级博物馆”质量等级的博物馆。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 博物馆运行评估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由博物馆行业组织负责实施，以考察、评价、监督为主要目的，针对定级博物馆在特定期间的运行状况及运行目标实现程度的评价活动，是针对定级博物馆运行质量的监督检查和复核，旨在通过评估客观反映博物馆在评估周期内的运行状况，建立科学的博物馆激励约束机制，以评促建，引导和促进定级博物馆向规范化、专业化、社会化和现代化方向发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3.4评估机构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由博物馆行业组织组建，负责实施博物馆运行评估活动的专业机构。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3.5评估专家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由博物馆行业组织建立评估专家库并随机抽选产生，参加博物馆运行评估工作的专家。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3.6评估对象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取得相应等级三年以上的国家一、二、三级博物馆，均应参加运行评估。未定级博物馆的运行评估工作可参照《博物馆运行评估办法》确定的原则和程序组织实施。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3.7定性评估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博物馆运行评估的工作环节之一，由评估专家依据评估对象提供的申报材料，综合判断评估对象规范管理、服务产出、社会评价等方面的运行状况，并进行定性评分。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3.8定量评估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博物馆运行评估的工作环节之一，由评估机构针对评估对象规范管理、服务产出、社会评价等方面可以量化的数据指标进行汇总统计和比对核查，通过计算形成定量评分。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3.9 博物馆理事会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是依照国家法律法规、政府有关政策和本单位章程开展工作的博物馆的决策和监督机构。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3.10 藏品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以收藏、研究、展示、教育、传播为目的，由博物馆永久收藏的，具有历史、艺术、科学等价值的文物、标本、资料、模型等的总称。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3.11 博物馆年度报告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博物馆按照文物主管部门或上级部门有关规范性文件或行业标准要求，每年度定期编制，发布本馆上一年度基本信息、资源信息、活动信息等，向管理机关、主要捐赠人和社会公众公开披露的报告文件。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3.12 代表性科研成果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在评估周期内开展科研活动取得的最具代表性的一项学术成果。可以是获奖科研项目（科研工作）、著作、科普读物、教材、论文、研究型展览大纲和批准专利等（不包括一般性展览大纲等日常工作或项目），必须由博物馆单位（包括博物馆下属机构）或博物馆在职职工署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3.13 基本陈列</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基于博物馆类型和定位，以本馆藏品为主体，以相关学术理论为基础的常设性陈列。依托文物保护单位设立的博物馆，对古迹遗址的保护展示或在文物建筑中的原状陈列可作为基本陈列参与评分。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3.14 代表性临时展览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博物馆在评估周期内举办，由本馆负责策展，内容及形式自主设计并组织展示的，最能够代表本馆展览策划、设计水平的一项临时性展览，所用展品可不局限于本馆藏品。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3.15 代表性教育活动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在评估周期内举办，由本馆负责策划，结合馆藏资源或陈列展览内容，面向大中小学生、家庭亲子或社区公众等受众群体推出的一项主题性、品牌性教育活动、教育课程、研学旅行活动、流动博物馆活动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3.16 代表性文创产品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博物馆依托本馆藏品、展览文化元素，在评估周期内自主研发、具有独立品牌价值并投放市场，取得良好社会、经济效益的一项标志性文创产品或系列产品。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3.17 线上数字化体验产品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依托互联网以及微博、微信、网络视频平台等新媒体形式，针对网络受众推出的云展览、云讲解、云教育（云课程）、短视频、高清直播、虚拟展厅、沉浸式体验等具有知识性、教育性、互动性的网络应用程序、内容产品或线上活动。</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4.评估原则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4.1 依法评估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中华人民共和国文物保护法》《中华人民共和国公共文化服务保障法》《博物馆条例》等有关法律法规规定，博物馆运行评估工作由博物馆行业组织实施，按照“以评促建、以评促改”的评估目标，在博物馆行业全面贯彻新发展理念的有关要求，引导、规范定级博物馆的发展方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4.2 分级指导</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博物馆运行评估将根据国家一、二、三级博物馆的不同功能定位和发展方向，科学确定不同等级博物馆的评估指标权重，体现运行评估工作中的分级指导、科学管理。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4.3 动态管理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运行评估，既可对定级博物馆自身的年度运行状况进行纵向对比，也可对同一级别博物馆在评估周期内的运行状况进行横向对比。对不符合相应等级标准的，降低或取消等级，从而实现定级博物馆的动态管理，不断健全博物馆分级管理体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4.4 数质并重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估指标包含定性评估和定量评估两个部分，兼顾博物馆不同领域、不同业务工作、不同指标项的数量增长与质量提升，通过定性和定量两类指标的综合评价，相互校验、补充，保障运行评估结果的科学、完整、准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4.5 公平公正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评估工作中，使用统一的评价体系对不同博物馆进行评价，公平对待各级各类博物馆；在评估方法上，定性评估、定量评估和综合评议相结合，在评估过程中存在重大分歧时，可进行现场核实，切实保证评估工作的公平公正。</w:t>
      </w: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5.评估指标框架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5.1总体要求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运行评估指标分为三级，评估的主要内容包括：规范管理、服务产出和社会评价三个方面，评估的方式包括：定性评估和定量评估两类，另外设置若干附加项。每级指标下均设有定性和定量两类考察要点。评估采取百分制计分，满分为100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 规范管理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“规范管理”指标主要对博物馆的管理情况进行评估，具体分为“组织管理”“藏品管理”“开放管理”和“安全管理”四个二级指标。“规范管理”的指标权重为25%。</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5.2.1 组织管理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本指标权重为4%，在定性评估中设立“法人治理”“制度规划”和“队伍建设”三个三级指标，在定量评估中不设三级指标。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5.2.2 藏品管理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本指标权重为10%，在定性评估中设立“藏品征集”“藏品登录”“藏品保管”和“藏品保护”四个三级指标，在定量评估中不设三级指标。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5.2.3 开放管理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本指标权重为5%，在定性评估中设立“信息公开”和“参观服务”两个三级指标，在定量评估中不设三级指标。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5.2.4 安全管理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本指标权重为6%，在定性评估中设立“意识形态安全”“藏品安全”“公共安全”和“信息安全”四个三级指标，在定量评估中不设三级指标。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5.3 服务产出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“服务产出”指标对博物馆主要业务功能的效率和质量进行评估。具体分为“科学研究”“陈列展览”“教育服务”和“文化传播”四个二级指标。“服务产出”的指标权重为55%。</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5.3.1 科学研究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本指标权重为15%，在定性评估中设立“科研产出”和“科研服务”两个三级指标，在定量评估中不设三级指标。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5.3.2 陈列展览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本指标权重为15%，在定性评估中设立“基本陈列”和“临时展览”两个三级指标，在定量评估中不设三级指标。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5.3.3 教育服务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本指标权重为15%，在定性评估中设立“</w:t>
      </w:r>
      <w:r>
        <w:rPr>
          <w:rFonts w:hint="eastAsia" w:ascii="仿宋_GB2312" w:hAnsi="仿宋_GB2312" w:eastAsia="仿宋_GB2312" w:cs="仿宋_GB2312"/>
          <w:color w:val="000000"/>
          <w:sz w:val="32"/>
          <w:szCs w:val="32"/>
          <w:lang w:eastAsia="zh-CN"/>
        </w:rPr>
        <w:t>讲解服务</w:t>
      </w:r>
      <w:r>
        <w:rPr>
          <w:rFonts w:hint="eastAsia" w:ascii="仿宋_GB2312" w:hAnsi="仿宋_GB2312" w:eastAsia="仿宋_GB2312" w:cs="仿宋_GB2312"/>
          <w:color w:val="000000"/>
          <w:sz w:val="32"/>
          <w:szCs w:val="32"/>
        </w:rPr>
        <w:t>”“教育活动”和“公益鉴定”三个三级指标，在定量评估中不设三级指标。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5.3.4 文化传播</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本指标权重为10%，在定性评估中设立“馆际协作”“国际交流”“数字传播”和“文创经营”四个三级指标，在定量评估中不设三级指标。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5.4 社会评价</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“社会评价”指标通过观众、媒体和社会反馈的信息情况对博物馆的社会服务产出的效果进行评估。具体分为“观众反馈”和“社会影响”两个二级指标。“社会评价”的指标权重为20%。</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5.4.1 观众反馈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本指标权重为12%，在定性评估中设立“观众结构”和“观众满意度”两个三级指标，在定量评估中不设三级指标。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5.4.2 社会影响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本指标权重为8%，在定性评估中设立“社会关注度”“奖励与荣誉”和“公众参与”三个三级指标，在定量评估中不设三级指标。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5.5 附加项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附加项共分为“特色加分项”和“警示减分项”两类。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5.5.1 特色加分项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指对特色化、个性化发展创新表现突出的博物馆给予加分，参评博物馆如在藏品保护修复、科研、陈列展览、教育、文化传播方面实施有特色化、个性化发展创新项目，在全国范围内对博物馆行业形成重大引领示范作用的，可增加附加分，并计入总得分。评估时，由评估专家根据参评博物馆申报的项目材料，结合博物馆事业改革发展的有关要求具体确定加分额度。单个特色项目加分不超过3分；参评博物馆累计加分不超过6分，累计附加分后博物馆总得分最高不超过100分。在评估实践中，对特色加分应从严掌握，给予特色加分的单位最多不超过参评单位总数的10%。</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结合博物馆事业改革发展的有关要求，特色加分的重点方向主要包括：</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a）博物馆、纪念馆服务国家重大战略、重大文化工程，加强资源整合与协同创新方面开展的特色化、个性化发展创新项目；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b）博物馆、纪念馆落实中央和国家有关部门关于博物馆改革发展的政策要求，创新体制机制，释放发展活力方面开展的特色化、个性化发展创新项目；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c）博物馆、纪念馆在弘扬社会主义核心价值观，传承弘扬中华优秀传统文化、继承革命文化和发展社会主义先进文化，推动文物资源创造性转化、创新性发展方面开展的特色化、个性化发展创新项目；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d）博物馆、纪念馆在开展国际合作，推进文明交流互鉴，向国际社会讲好中国故事、讲好中国共产党的故事，提升中华文化国际传播能力，扩大中华文化国际影响力方面开展的特色化、个性化发展创新项目。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5.5.2 警示减分项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指对藏品管理、安全管理方面有重大违规行为或事故的博物馆予以处罚，旨在促使博物馆重视藏品管理、安全管理相关工作。警示减分项随藏品管理、安全管理项下有关三级指标设立，一旦发生指标项确定的违规行为或事故，关联的二级指标全项不得分。警示减分项的具体考察内容包括：</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a）评估周期内未有效落实意识形态工作责任制，发生负面舆情或其他意识形态问题（关联指标：安全管理—意识形态安全），发生重大舆情或其他重大意识形态问题的，涉及安全管理二级指标项（6分）不得分。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b）评估周期内违规收藏有来源不明或者来源不合法的藏品（关联指标：藏品管理—藏品征集）。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c）馆藏文物借用或交换，未依法履行备案或报批程序（关联指标：藏品管理—藏品登录）。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d）未能依法合规处置文物（关联指标：藏品管理—藏品保管）。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e）评估周期内发生藏品安全事故（关联指标：藏品管理—藏品保管、安全管理—藏品安全），发生重大安全事故的，涉及藏品管理（10分）和安全管理（6分）两个二级指标项共计16分全部扣除。</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f）评估周期内发生观众安全责任事故（关联指标：安全管理—公共安全）。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g）革命纪念类博物馆及陈列展览内容未履行相关审批手续（关联指标：安全管理—意识形态安全，其他类型博物馆不作考察）。</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5.6 指标权重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落实分级指导的评估原则，评估中一、二、三级博物馆各一、二级指标的权重相同，定性评估中的三级指标和定量指标的权重不同，一、二、三级博物馆定量指标所占权重分别为20%，30%，40%。具体权重安排详见表1：博物馆运行评估指标体系框架及权重分布。</w:t>
      </w: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rPr>
      </w:pPr>
      <w:r>
        <w:rPr>
          <w:rFonts w:hint="eastAsia" w:ascii="仿宋_GB2312" w:hAnsi="仿宋_GB2312" w:eastAsia="仿宋_GB2312" w:cs="仿宋_GB2312"/>
          <w:color w:val="000000"/>
          <w:sz w:val="32"/>
          <w:szCs w:val="32"/>
        </w:rPr>
        <w:t>表1：博物馆运行评估指标体系框架及权重分布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1410"/>
        <w:gridCol w:w="1905"/>
        <w:gridCol w:w="1350"/>
        <w:gridCol w:w="1230"/>
        <w:gridCol w:w="1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trPr>
        <w:tc>
          <w:tcPr>
            <w:tcW w:w="4707"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指标名称</w:t>
            </w:r>
          </w:p>
        </w:tc>
        <w:tc>
          <w:tcPr>
            <w:tcW w:w="3815" w:type="dxa"/>
            <w:gridSpan w:val="3"/>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指标权重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trPr>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一级指标</w:t>
            </w:r>
          </w:p>
        </w:tc>
        <w:tc>
          <w:tcPr>
            <w:tcW w:w="141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二级指标</w:t>
            </w: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三级指标</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一级</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博物馆</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二级</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博物馆</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三级</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博物馆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规范管理</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val="0"/>
                <w:bCs w:val="0"/>
                <w:color w:val="000000"/>
                <w:sz w:val="28"/>
                <w:szCs w:val="28"/>
              </w:rPr>
              <w:t>25</w:t>
            </w:r>
          </w:p>
        </w:tc>
        <w:tc>
          <w:tcPr>
            <w:tcW w:w="14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组织管理</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法人治理</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制度规划</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1.5</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队伍建设</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定量指标</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0.5</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藏品管理</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10</w:t>
            </w: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藏品征集</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藏品登录</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藏品保管</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藏品保护</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定量指标</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开放管理</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w:t>
            </w: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信息公开</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1.5</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参观服务</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1.5</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定量指标</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restart"/>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安全管理</w:t>
            </w:r>
          </w:p>
          <w:p>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w:t>
            </w: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意识形态安全</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藏品安全</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公共安全</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1.5</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信息安全</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定量指标</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0.5</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restart"/>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服务产出</w:t>
            </w:r>
          </w:p>
          <w:p>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val="0"/>
                <w:bCs w:val="0"/>
                <w:color w:val="000000"/>
                <w:sz w:val="28"/>
                <w:szCs w:val="28"/>
              </w:rPr>
              <w:t>55</w:t>
            </w:r>
          </w:p>
        </w:tc>
        <w:tc>
          <w:tcPr>
            <w:tcW w:w="14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科学研究</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15</w:t>
            </w: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科研产出</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9</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7</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科研服务</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3</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5</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定量指标</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陈列展览</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15</w:t>
            </w: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基本陈列</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临时展览</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定量指标</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教育服务</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15</w:t>
            </w: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讲解服务</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教育活动</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10</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公益鉴定</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610" w:leftChars="15" w:hanging="562" w:hangingChars="201"/>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定量指标</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文化传播</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10</w:t>
            </w: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馆际协作</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国际交流</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数字传播</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文创经营</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定量指标</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社会评价</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val="0"/>
                <w:bCs w:val="0"/>
                <w:color w:val="000000"/>
                <w:sz w:val="28"/>
                <w:szCs w:val="28"/>
              </w:rPr>
              <w:t>20</w:t>
            </w:r>
          </w:p>
        </w:tc>
        <w:tc>
          <w:tcPr>
            <w:tcW w:w="14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观众反馈</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12</w:t>
            </w: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观众结构</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观众满意度</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定量指标</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社会影响</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8</w:t>
            </w: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社会关注度</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奖励与荣誉</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公众参与</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9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4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p>
        </w:tc>
        <w:tc>
          <w:tcPr>
            <w:tcW w:w="190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定量指标</w:t>
            </w:r>
          </w:p>
        </w:tc>
        <w:tc>
          <w:tcPr>
            <w:tcW w:w="135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802"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特色加分项</w:t>
            </w:r>
          </w:p>
        </w:tc>
        <w:tc>
          <w:tcPr>
            <w:tcW w:w="5720" w:type="dxa"/>
            <w:gridSpan w:val="4"/>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根据参评博物馆申报的改革创新与特色发展项目材料给分，单个特色项目加分不超过3分；参评博物馆累计加分不超过6分，累计附加分后博物馆总得分最高不超过100分。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802"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警示减分项</w:t>
            </w:r>
          </w:p>
        </w:tc>
        <w:tc>
          <w:tcPr>
            <w:tcW w:w="5720" w:type="dxa"/>
            <w:gridSpan w:val="4"/>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一旦发生指标项确定的违规行为或事故，所关联的二级指标全项不得分。</w:t>
            </w:r>
          </w:p>
        </w:tc>
      </w:tr>
    </w:tbl>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6.评估流程与方法</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6.1 评估流程</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博物馆运行评估流程包括：定性评估、定量评估</w:t>
      </w:r>
      <w:r>
        <w:rPr>
          <w:rFonts w:hint="eastAsia" w:ascii="仿宋_GB2312" w:hAnsi="仿宋_GB2312" w:cs="仿宋_GB2312"/>
          <w:color w:val="000000"/>
          <w:sz w:val="32"/>
          <w:szCs w:val="32"/>
          <w:lang w:eastAsia="zh-CN"/>
        </w:rPr>
        <w:t>、现场考察</w:t>
      </w:r>
      <w:r>
        <w:rPr>
          <w:rFonts w:hint="eastAsia" w:ascii="仿宋_GB2312" w:hAnsi="仿宋_GB2312" w:eastAsia="仿宋_GB2312" w:cs="仿宋_GB2312"/>
          <w:color w:val="000000"/>
          <w:sz w:val="32"/>
          <w:szCs w:val="32"/>
        </w:rPr>
        <w:t>和综合评议。</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6.2 定性评估</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定性评估由随机抽选产生的评估专家通过评估系统在线审阅评估对象提交的申报材料，对照本标准确定的评估指标、考察要点和附录A确定的各考察要点原始分值进行记名打分和排序，形成定性评估分值。定性评估按评估指标分组进行，每项考察要点需要经过不少于3位评估专家分别评分，将各评估专家的评分以二级指标为单位进行汇总并</w:t>
      </w:r>
      <w:r>
        <w:rPr>
          <w:rFonts w:hint="eastAsia" w:ascii="仿宋_GB2312" w:hAnsi="仿宋_GB2312" w:eastAsia="仿宋_GB2312" w:cs="仿宋_GB2312"/>
          <w:color w:val="000000"/>
          <w:sz w:val="32"/>
          <w:szCs w:val="32"/>
          <w:lang w:eastAsia="zh-CN"/>
        </w:rPr>
        <w:t>按照</w:t>
      </w:r>
      <w:r>
        <w:rPr>
          <w:rFonts w:hint="eastAsia" w:ascii="仿宋_GB2312" w:hAnsi="仿宋_GB2312" w:eastAsia="仿宋_GB2312" w:cs="仿宋_GB2312"/>
          <w:color w:val="000000"/>
          <w:sz w:val="32"/>
          <w:szCs w:val="32"/>
        </w:rPr>
        <w:t>简单算术平均</w:t>
      </w:r>
      <w:r>
        <w:rPr>
          <w:rFonts w:hint="eastAsia" w:ascii="仿宋_GB2312" w:hAnsi="仿宋_GB2312" w:eastAsia="仿宋_GB2312" w:cs="仿宋_GB2312"/>
          <w:color w:val="000000"/>
          <w:sz w:val="32"/>
          <w:szCs w:val="32"/>
          <w:lang w:eastAsia="zh-CN"/>
        </w:rPr>
        <w:t>进行计算</w:t>
      </w:r>
      <w:r>
        <w:rPr>
          <w:rFonts w:hint="eastAsia" w:ascii="仿宋_GB2312" w:hAnsi="仿宋_GB2312" w:eastAsia="仿宋_GB2312" w:cs="仿宋_GB2312"/>
          <w:color w:val="000000"/>
          <w:sz w:val="32"/>
          <w:szCs w:val="32"/>
        </w:rPr>
        <w:t>，再根据评估指标的权重值还原形成该二级指标的定性评估得分。定性评估得分的具体计算方法，详见附录B。</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6.3 定量评估</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定量评估通过汇总评估申报书中的有关量化数据或评估中收集采集的相关数据，运用专门的统计计算系统进行处理。计分时，首先根据本标准确定的评估指标、考察要点和附录A确定的各考察要点原始分值，按照不同级别博物馆的评估数据分别计算各考察要点分值，然后以二级指标为单位进行汇总，并根据评估指标的权重值还原形成该二级指标的定量评估得分。定量评估得分的具体计算方法，详见附录B。</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6.4 现场考察</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在定性评估、定量评估过程中，评估机构可以委托评估专家和评估检查员组成</w:t>
      </w:r>
      <w:r>
        <w:rPr>
          <w:rFonts w:hint="eastAsia" w:ascii="仿宋_GB2312" w:hAnsi="仿宋_GB2312" w:cs="仿宋_GB2312"/>
          <w:color w:val="000000"/>
          <w:sz w:val="32"/>
          <w:szCs w:val="32"/>
          <w:lang w:eastAsia="zh-CN"/>
        </w:rPr>
        <w:t>考察</w:t>
      </w:r>
      <w:r>
        <w:rPr>
          <w:rFonts w:hint="eastAsia" w:ascii="仿宋_GB2312" w:hAnsi="仿宋_GB2312" w:eastAsia="仿宋_GB2312" w:cs="仿宋_GB2312"/>
          <w:color w:val="000000"/>
          <w:sz w:val="32"/>
          <w:szCs w:val="32"/>
        </w:rPr>
        <w:t>小组，对参评博物馆进行现场考察，通过检查环境、查阅档案、听取汇报、交流座谈、实地暗访的形式核实相关评估材料的真实性、完整性，撰写现场考察报告，并可对前期形成的评估得分提出修订建议。</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6.5 综合评议</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合评议以专家组会议形式进行，由评估专家集中审议通过对定性评估、定量评估结果加权计算形成的初步评估成绩，听取评估机构和评估专家的工作报告，在集中讨论、评议的基础上，通过记名表决，形成最终评估成绩。</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6.6 原始分值</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了方便定性评估和定量评估环节的评分和统计工作，在各二级指标下设定性评估和定量评估原始分，每个二级指标的定性评估和定量评估原始分均为100分，按照不同权重，分配至每个三级指标和考察要点，在评分计分中使用。根据一、二、三级博物馆在定性评估中的三级指标和定量指标上的权重差异，不同级别博物馆各考察要点的原始分值也有所差异，具体分值安排，详见附录A。</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6.7 评估成绩</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各评估对象的最终评估成绩根据各二级指标的定性评估得分、定量评估得分，按照一定比重系数加权汇总计算形成。评估成绩实行百分制计分，满分100分，具体计算方法，详见附录B。</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6.8评估结果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国家一、二、三级博物馆分别得分80</w:t>
      </w:r>
      <w:r>
        <w:rPr>
          <w:rFonts w:hint="eastAsia" w:ascii="仿宋_GB2312" w:hAnsi="仿宋_GB2312" w:eastAsia="仿宋_GB2312" w:cs="仿宋_GB2312"/>
          <w:color w:val="000000"/>
          <w:sz w:val="32"/>
          <w:szCs w:val="32"/>
          <w:lang w:eastAsia="zh-CN"/>
        </w:rPr>
        <w:t>（含）</w:t>
      </w:r>
      <w:r>
        <w:rPr>
          <w:rFonts w:hint="eastAsia" w:ascii="仿宋_GB2312" w:hAnsi="仿宋_GB2312" w:eastAsia="仿宋_GB2312" w:cs="仿宋_GB2312"/>
          <w:color w:val="000000"/>
          <w:sz w:val="32"/>
          <w:szCs w:val="32"/>
        </w:rPr>
        <w:t>分、75</w:t>
      </w:r>
      <w:r>
        <w:rPr>
          <w:rFonts w:hint="eastAsia" w:ascii="仿宋_GB2312" w:hAnsi="仿宋_GB2312" w:eastAsia="仿宋_GB2312" w:cs="仿宋_GB2312"/>
          <w:color w:val="000000"/>
          <w:sz w:val="32"/>
          <w:szCs w:val="32"/>
          <w:lang w:eastAsia="zh-CN"/>
        </w:rPr>
        <w:t>（含）</w:t>
      </w:r>
      <w:r>
        <w:rPr>
          <w:rFonts w:hint="eastAsia" w:ascii="仿宋_GB2312" w:hAnsi="仿宋_GB2312" w:eastAsia="仿宋_GB2312" w:cs="仿宋_GB2312"/>
          <w:color w:val="000000"/>
          <w:sz w:val="32"/>
          <w:szCs w:val="32"/>
        </w:rPr>
        <w:t>分、70</w:t>
      </w:r>
      <w:r>
        <w:rPr>
          <w:rFonts w:hint="eastAsia" w:ascii="仿宋_GB2312" w:hAnsi="仿宋_GB2312" w:eastAsia="仿宋_GB2312" w:cs="仿宋_GB2312"/>
          <w:color w:val="000000"/>
          <w:sz w:val="32"/>
          <w:szCs w:val="32"/>
          <w:lang w:eastAsia="zh-CN"/>
        </w:rPr>
        <w:t>（含）</w:t>
      </w:r>
      <w:r>
        <w:rPr>
          <w:rFonts w:hint="eastAsia" w:ascii="仿宋_GB2312" w:hAnsi="仿宋_GB2312" w:eastAsia="仿宋_GB2312" w:cs="仿宋_GB2312"/>
          <w:color w:val="000000"/>
          <w:sz w:val="32"/>
          <w:szCs w:val="32"/>
        </w:rPr>
        <w:t>分以上</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评估结果为“优秀”；分别得分</w:t>
      </w:r>
      <w:r>
        <w:rPr>
          <w:rFonts w:hint="eastAsia" w:ascii="仿宋_GB2312" w:hAnsi="仿宋_GB2312" w:eastAsia="仿宋_GB2312" w:cs="仿宋_GB2312"/>
          <w:color w:val="000000"/>
          <w:sz w:val="32"/>
          <w:szCs w:val="32"/>
          <w:lang w:val="en-US" w:eastAsia="zh-CN"/>
        </w:rPr>
        <w:t>80分以下60</w:t>
      </w:r>
      <w:r>
        <w:rPr>
          <w:rFonts w:hint="eastAsia" w:ascii="仿宋_GB2312" w:hAnsi="仿宋_GB2312" w:eastAsia="仿宋_GB2312" w:cs="仿宋_GB2312"/>
          <w:color w:val="000000"/>
          <w:sz w:val="32"/>
          <w:szCs w:val="32"/>
          <w:lang w:eastAsia="zh-CN"/>
        </w:rPr>
        <w:t>（含）</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以上</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75分以下55</w:t>
      </w:r>
      <w:r>
        <w:rPr>
          <w:rFonts w:hint="eastAsia" w:ascii="仿宋_GB2312" w:hAnsi="仿宋_GB2312" w:eastAsia="仿宋_GB2312" w:cs="仿宋_GB2312"/>
          <w:color w:val="000000"/>
          <w:sz w:val="32"/>
          <w:szCs w:val="32"/>
          <w:lang w:eastAsia="zh-CN"/>
        </w:rPr>
        <w:t>（含）</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以上</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70分以下50</w:t>
      </w:r>
      <w:r>
        <w:rPr>
          <w:rFonts w:hint="eastAsia" w:ascii="仿宋_GB2312" w:hAnsi="仿宋_GB2312" w:eastAsia="仿宋_GB2312" w:cs="仿宋_GB2312"/>
          <w:color w:val="000000"/>
          <w:sz w:val="32"/>
          <w:szCs w:val="32"/>
          <w:lang w:eastAsia="zh-CN"/>
        </w:rPr>
        <w:t>（含）</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以上，</w:t>
      </w:r>
      <w:r>
        <w:rPr>
          <w:rFonts w:hint="eastAsia" w:ascii="仿宋_GB2312" w:hAnsi="仿宋_GB2312" w:eastAsia="仿宋_GB2312" w:cs="仿宋_GB2312"/>
          <w:color w:val="000000"/>
          <w:sz w:val="32"/>
          <w:szCs w:val="32"/>
        </w:rPr>
        <w:t>评估结果为“合格”；</w:t>
      </w:r>
      <w:r>
        <w:rPr>
          <w:rFonts w:hint="eastAsia" w:ascii="仿宋_GB2312" w:hAnsi="仿宋_GB2312" w:eastAsia="仿宋_GB2312" w:cs="仿宋_GB2312"/>
          <w:color w:val="000000"/>
          <w:sz w:val="32"/>
          <w:szCs w:val="32"/>
          <w:lang w:val="en-US" w:eastAsia="zh-CN"/>
        </w:rPr>
        <w:t>60分以下50</w:t>
      </w:r>
      <w:r>
        <w:rPr>
          <w:rFonts w:hint="eastAsia" w:ascii="仿宋_GB2312" w:hAnsi="仿宋_GB2312" w:eastAsia="仿宋_GB2312" w:cs="仿宋_GB2312"/>
          <w:color w:val="000000"/>
          <w:sz w:val="32"/>
          <w:szCs w:val="32"/>
          <w:lang w:eastAsia="zh-CN"/>
        </w:rPr>
        <w:t>（含）</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以上、</w:t>
      </w:r>
      <w:r>
        <w:rPr>
          <w:rFonts w:hint="eastAsia" w:ascii="仿宋_GB2312" w:hAnsi="仿宋_GB2312" w:eastAsia="仿宋_GB2312" w:cs="仿宋_GB2312"/>
          <w:color w:val="000000"/>
          <w:sz w:val="32"/>
          <w:szCs w:val="32"/>
          <w:lang w:val="en-US" w:eastAsia="zh-CN"/>
        </w:rPr>
        <w:t>55分以下45</w:t>
      </w:r>
      <w:r>
        <w:rPr>
          <w:rFonts w:hint="eastAsia" w:ascii="仿宋_GB2312" w:hAnsi="仿宋_GB2312" w:eastAsia="仿宋_GB2312" w:cs="仿宋_GB2312"/>
          <w:color w:val="000000"/>
          <w:sz w:val="32"/>
          <w:szCs w:val="32"/>
          <w:lang w:eastAsia="zh-CN"/>
        </w:rPr>
        <w:t>（含）</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以上</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50分以下40</w:t>
      </w:r>
      <w:r>
        <w:rPr>
          <w:rFonts w:hint="eastAsia" w:ascii="仿宋_GB2312" w:hAnsi="仿宋_GB2312" w:eastAsia="仿宋_GB2312" w:cs="仿宋_GB2312"/>
          <w:color w:val="000000"/>
          <w:sz w:val="32"/>
          <w:szCs w:val="32"/>
          <w:lang w:eastAsia="zh-CN"/>
        </w:rPr>
        <w:t>（含）</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以上，</w:t>
      </w:r>
      <w:r>
        <w:rPr>
          <w:rFonts w:hint="eastAsia" w:ascii="仿宋_GB2312" w:hAnsi="仿宋_GB2312" w:eastAsia="仿宋_GB2312" w:cs="仿宋_GB2312"/>
          <w:color w:val="000000"/>
          <w:sz w:val="32"/>
          <w:szCs w:val="32"/>
        </w:rPr>
        <w:t>评估结果为“基本合格”；分别得分50分、45分、40分以下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评估结果为“不合格”。</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6.9 相关要求</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每次博物馆运行评估的时间周期、参与范围、工作安排、申报文件格式、数据采集和评分规则等以评估机构拟定的评估方案和评估通知为准，评估数据的统计时间区间应与评估周期一致，评估指标中部分数据的统计方法，可以参见WW/T 0092-2018附录D的有关要求。</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7.定性评估指标及考察要点</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 规范管理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7.1.1 组织管理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a）法人治理：主要考察博物馆推进法人治理结构，健全决策、执行和监督机制情况。具体考察内容包括：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——理事会或其他形式决策机构组成人员情况；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——理事会或其他形式决策机构履行职责，以及博物馆对于理事会相关决议、建议执行采纳情况；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——监事会或其他形式监督机构组建、运行情况。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b）制度规划：主要考察博物馆建立健全组织管理制度情况。具体考察内容包括：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——博物馆章程制定执行情况；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——博物馆中长期发展规划编制、执行情况；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——博物馆内部管理制度体系建设、完善、更新情况。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c）队伍建设：主要考察博物馆人才队伍建设情况。具体考察内容包括：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——博物馆管理人才、专业技能人才、研究人才、创新型人才的配备及培养情况；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——高水平创新团队及拔尖人才培养情况；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——博物馆根据不同岗位要求，开展分级分类培训，提升队伍整体素质能力情况。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7.1.2 藏品管理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a）藏品征集：主要考察博物馆依法合规充实馆藏资源情况。具体考察内容包括：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——博物馆藏品征集规划和年度计划制订、执行情况；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——博物馆新征集藏品对于完善收藏体系，满足展示、研究等方面的价值意义；</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——博物馆征藏党史、新中国史、改革开放史、社会主义发展史、中华民族发展史、经济社会发展变迁物证以及流失海外中国文物的情况。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b）藏品登录：主要考察藏品档案建设及文物登录备案情况。具体考察内容包括：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——博物馆新搜集藏品依法建立藏品账目及档案的情况；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——单独设置文物档案，并区分文物等级的情况；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注：无文物类藏品的博物馆可参照评分。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——建立藏品数据库或藏品信息管理系统，健全藏品登录机制，采集登录藏品信息的情况；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——文物信息在主管文物部门备案的情况。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注：无文物类藏品的博物馆可参照评分。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c）藏品保管：主要考察藏品库房及保管装具配置及提用、运输等管理活动情况。具体考察内容包括：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——藏品库房管理及藏品保护装具配备情况；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——温度、湿度、光照等藏品保存、展示环境指标控制情况；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——藏品入库、上架、提用、运输等操作执行及工作记录情况。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d）藏品保护：主要考察藏品预防性保护、修复及日常养护情况（包括依托文物保护建筑设立的博物馆开展的文物保护建筑修缮情况）。具体考察内容包括：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——开展藏品预防性保护，针对文物常见多发病害病理开展研究和防治情况；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——针对珍贵濒危文物、材质脆弱文物、文物保护建筑的保护修复情况；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——藏品养护工作情况。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7.1.3 开放管理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a）信息公开：主要考察博物馆年报编制、发布和日常信息公开情况。具体考察内容包括：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——近三年博物馆年报编制、发布情况；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——博物馆向文物主管部门报送年报信息情况；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——通过博物馆网站等媒体平台，面向社会公示本馆管理、运行和公共文化服务工作情况。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b）参观服务：主要考察博物馆为到馆观众提供参观全过程服务和开放服务设施管理运行情况。具体考察内容包括：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——博物馆全年向社会开放情况；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——博物馆执行免费开放政策或对特殊人群免费、优惠开放情况；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——新增或更新的观众休息设施、卫生设施、文创产品销售服务设施、餐饮服务设施以及老年人、残疾人、婴幼儿等特殊人群服务设施配备情况；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——落实国家节能减排、绿色发展相关要求，积极推动博物馆基础设施、设备节能化改造和低耗能运行，助推碳达峰、碳中和重大战略实施的情况；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——通过互联网、新媒体为公众提供各类在线服务的情况；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——采取有效措施解决老年人运用智能技术困难问题的情况；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——有效落实常态化疫情防控工作要求为开放服务提供保障的情况。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7.1.4 安全管理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a）意识形态安全：主要考察博物馆认真贯彻落实党中央关于意识形态工作的决策部署开展各项相关工作的情况。具体考察内容包括：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——坚持正确方向，党建与业务相融合情况；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——博物馆落实意识形态工作责任制，健全并落实各级主体责任，将意识形态工作纳入工作规划、计划和重要议事日程，纳入领导班子和成员目标管理的情况；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——博物馆加强意识形态阵地建设，在展陈、教育、传播、文创、信息发布等各项工作中严把政治导向，按要求履行活动报告、审批程序，加强内容审核管理的情况；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——博物馆强化意识形态风险防控，开展工作人员教育培训，健全舆情监测、研判、回应机制，制订、执行意识形态安全应急预案，及时开展舆情处置和舆论引导工作，防范化解意识形态领域安全风险的情况。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b）藏品安全：主要考察博物馆藏品安全风险防控情况。具体考察内容包括：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——按照GA 27-2002、GB/T 16571-2012及相关标准要求，在库房和展厅内，配备保障藏品安全的设备、设施情况；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——对藏品安全保障设备、设施的检查、维护情况；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——对珍贵文物和易损藏品的特殊保管情况。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c）公共安全：主要考察博物馆公共安全保障情况。具体考察内容包括：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——博物馆安保人员配备和日常管理工作情况；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——按照GA 27-2002、GB/T 16571-2012及相关标准有关要求，在开放区域内，配备保障公共安全的消防、安防设施设备情况；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——对消防安全设备设施的使用情况；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——博物馆针对突发事件的预防措施、应急预案、善后处置措施准备情况；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——定期组织开展消防、安防演练情况；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——属地公安、消防部门对博物馆安保工作的检查、验收情况。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d）信息安全：主要考察博物馆信息系统建设、信息安全保护能力有关情况。具体考察内容包括：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——博物馆信息系统架构与用户权限管理体系建设情况；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——博物馆信息安全保护、数据资源管理制度制订和执行情况；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——博物馆信息安全管理人员配备和日常工作情况；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——参照GB/T 22239-2019及相关标准有关要求，落实信息系统安全等级保护有关情况。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7.2 服务产出</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7.2.1 科学研究</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科研产出：主要考察博物馆在科学研究、学术研究、考古发掘等方面取得成果（包括但不限于：针对藏品价值认知、藏品保护、藏品科学管理和藏品利用有关的研究成果；与陈列展览有关的理论和方法研究成果；与社会教育有关的原理和方法研究成果；与观众心理、观众行为、观众调查方法等有关的研究成果；与博物馆管理有关的研究成果；与博物馆主题文化有关的研究成果；具有考古资质的博物馆开展考古发掘项目的</w:t>
      </w:r>
      <w:r>
        <w:rPr>
          <w:rFonts w:hint="eastAsia" w:ascii="仿宋_GB2312" w:hAnsi="仿宋_GB2312" w:cs="仿宋_GB2312"/>
          <w:color w:val="000000"/>
          <w:sz w:val="32"/>
          <w:szCs w:val="32"/>
          <w:lang w:eastAsia="zh-CN"/>
        </w:rPr>
        <w:t>成果）</w:t>
      </w:r>
      <w:r>
        <w:rPr>
          <w:rFonts w:hint="eastAsia" w:ascii="仿宋_GB2312" w:hAnsi="仿宋_GB2312" w:eastAsia="仿宋_GB2312" w:cs="仿宋_GB2312"/>
          <w:color w:val="000000"/>
          <w:sz w:val="32"/>
          <w:szCs w:val="32"/>
        </w:rPr>
        <w:t>。具体考察内容包括：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——博物馆在科学研究、学术研究方面综合实力，以及开展科研活动和取得成果（包括但不限于：发表学术论文、出版学术专著、承担科研项目、考古发掘项目、课题、获得专利、参与制订标准）的总体水平；</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——代表性研究成果的学术价值、应用价值、创新价值情况；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——代表性研究成果影响力和获奖情况。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b）科研服务：主要考察博物馆为高等学校、科研院所、社会团体和馆外研究者进行研究提供服务情况。具体考察内容包括：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——面向其他博物馆、高等学校、科研院所开放藏品和学术研究资料，为专业研究者提供研究便利的情况；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——博物馆发挥本馆藏品、学术资源优势，与高等学校、科研院所等单位合作开展学术研究、承担科研项目、</w:t>
      </w:r>
      <w:r>
        <w:rPr>
          <w:rFonts w:hint="eastAsia" w:ascii="仿宋_GB2312" w:hAnsi="仿宋_GB2312" w:cs="仿宋_GB2312"/>
          <w:color w:val="000000"/>
          <w:sz w:val="32"/>
          <w:szCs w:val="32"/>
          <w:lang w:eastAsia="zh-CN"/>
        </w:rPr>
        <w:t>考古发掘项目、</w:t>
      </w:r>
      <w:r>
        <w:rPr>
          <w:rFonts w:hint="eastAsia" w:ascii="仿宋_GB2312" w:hAnsi="仿宋_GB2312" w:eastAsia="仿宋_GB2312" w:cs="仿宋_GB2312"/>
          <w:color w:val="000000"/>
          <w:sz w:val="32"/>
          <w:szCs w:val="32"/>
        </w:rPr>
        <w:t>举办学术活动的情况；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——与高等学校、科研院所联合建立、运营实验室、研究室、科研基地、科研工作站的情况。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7.2.2 陈列展览</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a）基本陈列：主要考察博物馆基本陈列体系建设和现有基本陈列的数量、水平。依托文物保护单位设立的博物馆，对古迹遗址的保护展示或在文物建筑中的原状陈列可</w:t>
      </w:r>
      <w:r>
        <w:rPr>
          <w:rFonts w:hint="eastAsia" w:ascii="仿宋_GB2312" w:hAnsi="仿宋_GB2312" w:eastAsia="仿宋_GB2312" w:cs="仿宋_GB2312"/>
          <w:color w:val="000000"/>
          <w:sz w:val="32"/>
          <w:szCs w:val="32"/>
          <w:lang w:eastAsia="zh-CN"/>
        </w:rPr>
        <w:t>纳入</w:t>
      </w:r>
      <w:r>
        <w:rPr>
          <w:rFonts w:hint="eastAsia" w:ascii="仿宋_GB2312" w:hAnsi="仿宋_GB2312" w:eastAsia="仿宋_GB2312" w:cs="仿宋_GB2312"/>
          <w:color w:val="000000"/>
          <w:sz w:val="32"/>
          <w:szCs w:val="32"/>
        </w:rPr>
        <w:t>基本陈列评分</w:t>
      </w:r>
      <w:r>
        <w:rPr>
          <w:rFonts w:hint="eastAsia" w:ascii="仿宋_GB2312" w:hAnsi="仿宋_GB2312" w:eastAsia="仿宋_GB2312" w:cs="仿宋_GB2312"/>
          <w:color w:val="000000"/>
          <w:sz w:val="32"/>
          <w:szCs w:val="32"/>
          <w:lang w:eastAsia="zh-CN"/>
        </w:rPr>
        <w:t>范畴</w:t>
      </w:r>
      <w:r>
        <w:rPr>
          <w:rFonts w:hint="eastAsia" w:ascii="仿宋_GB2312" w:hAnsi="仿宋_GB2312" w:eastAsia="仿宋_GB2312" w:cs="仿宋_GB2312"/>
          <w:color w:val="000000"/>
          <w:sz w:val="32"/>
          <w:szCs w:val="32"/>
        </w:rPr>
        <w:t>。具体考察内容包括：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——博物馆基本陈列体系建设，以及现有基本陈列的总体质量情况；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——基本陈列中展品、展项更新、充实的频率与幅度（原状陈列不考察</w:t>
      </w:r>
      <w:r>
        <w:rPr>
          <w:rFonts w:hint="eastAsia" w:ascii="仿宋_GB2312" w:hAnsi="仿宋_GB2312" w:eastAsia="仿宋_GB2312" w:cs="仿宋_GB2312"/>
          <w:color w:val="000000"/>
          <w:sz w:val="32"/>
          <w:szCs w:val="32"/>
          <w:lang w:eastAsia="zh-CN"/>
        </w:rPr>
        <w:t>此项</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——基本陈列文化品牌的社会认知、认可度，以及获得奖励、推介的情况。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b）临时展览：主要考察博物馆临时展览体系建设和评估周期内举办临时展览的数量和水平。具体考察内容包括：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——博物馆临时展览体系建设，以及评估周期内举办临时展览的总体质量情况；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——代表性临时展览主题定位与博物馆</w:t>
      </w:r>
      <w:r>
        <w:rPr>
          <w:rFonts w:hint="eastAsia" w:ascii="仿宋_GB2312" w:hAnsi="仿宋_GB2312" w:eastAsia="仿宋_GB2312" w:cs="仿宋_GB2312"/>
          <w:color w:val="000000"/>
          <w:sz w:val="32"/>
          <w:szCs w:val="32"/>
          <w:lang w:eastAsia="zh-CN"/>
        </w:rPr>
        <w:t>定位</w:t>
      </w:r>
      <w:r>
        <w:rPr>
          <w:rFonts w:hint="eastAsia" w:ascii="仿宋_GB2312" w:hAnsi="仿宋_GB2312" w:eastAsia="仿宋_GB2312" w:cs="仿宋_GB2312"/>
          <w:color w:val="000000"/>
          <w:sz w:val="32"/>
          <w:szCs w:val="32"/>
        </w:rPr>
        <w:t>的契合程度；</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——代表性临时展览的内容策划水平，以及学术性、思想性情况；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——代表性临时展览形式设计水平，以及陈列主题和思想内容情况；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——代表性临时展览运用辅助展品和现代信息技术手段提升文化传播水平的情况；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——代表性临时展览文化品牌社会认知、认可度，以及获得奖励、推介的情况。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7.2.3 教育服务</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a）讲解</w:t>
      </w:r>
      <w:r>
        <w:rPr>
          <w:rFonts w:hint="eastAsia" w:ascii="仿宋_GB2312" w:hAnsi="仿宋_GB2312" w:eastAsia="仿宋_GB2312" w:cs="仿宋_GB2312"/>
          <w:color w:val="000000"/>
          <w:sz w:val="32"/>
          <w:szCs w:val="32"/>
          <w:lang w:eastAsia="zh-CN"/>
        </w:rPr>
        <w:t>服务</w:t>
      </w:r>
      <w:r>
        <w:rPr>
          <w:rFonts w:hint="eastAsia" w:ascii="仿宋_GB2312" w:hAnsi="仿宋_GB2312" w:eastAsia="仿宋_GB2312" w:cs="仿宋_GB2312"/>
          <w:color w:val="000000"/>
          <w:sz w:val="32"/>
          <w:szCs w:val="32"/>
        </w:rPr>
        <w:t>：主要考察博物馆讲解队伍建设和服务能力，面向公众开展讲解导览服务的情况。具体考察内容包括：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——讲解队伍建设和服务能力情况；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——日常公益性讲解导览服务情况；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——馆长、专家导览等特色化讲解导览服务情况；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——智慧导览服务情况。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b）教育活动：主要考察博物馆自主策划、实施各类品牌、特色教育活动（包括馆内教育活动、特色教育课程、研学旅行活动、流动博物馆活动等）的质量和水平。具体考察内容包括：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——博物馆教育活动规划编制与实施的总体情况；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——接待青少年群体利用博物馆资源，组织开展爱国主义、革命传统、中华优秀传统文化、生态文明、国家安全、“大思政课”等主题的研学实践教育活动的情况；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——博物馆与当地各类学校联系，签订馆校共建协议，开展博物馆进校园活动的情况；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——博物馆根据青少年群体认知规律和学校教育教学需求，结合传统节日、纪念日等，组织开展各类经常性教育课程、教育活动的质量水平；</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——代表性教育活动的质量水平；</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——代表性教育活动面向学校、社区等群体和互联网平台推广情况，以及大中小学生、社区公众、网络受众的参与情况；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——代表性教育活动品牌创建及其社会认知、认可度。</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c）公益鉴定：主要考察博物馆开展公益鉴定服务的情况。具体考察内容包括：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——博物馆公益鉴定服务制度、规划的编制情况；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——博物馆公益鉴定服务实施的总体情况，如鉴定文物的类别，社会认知、认可度，服务推广情况。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7.2.4 文化传播</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a）馆际协作：主要考察向国内其他博物馆输出文化资源，面向中小博物馆、非国有博物馆开展对口帮扶、馆际协作的情况。具体考察内容包括：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——向国内其他博物馆输出展览、展品的综合质量水平；</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——举办国内学术研讨活动</w:t>
      </w:r>
      <w:r>
        <w:rPr>
          <w:rFonts w:hint="eastAsia" w:ascii="仿宋_GB2312" w:hAnsi="仿宋_GB2312" w:eastAsia="仿宋_GB2312" w:cs="仿宋_GB2312"/>
          <w:color w:val="000000"/>
          <w:sz w:val="32"/>
          <w:szCs w:val="32"/>
          <w:lang w:val="en-US" w:eastAsia="zh-CN"/>
        </w:rPr>
        <w:t>等文化交流活动</w:t>
      </w:r>
      <w:r>
        <w:rPr>
          <w:rFonts w:hint="eastAsia" w:ascii="仿宋_GB2312" w:hAnsi="仿宋_GB2312" w:eastAsia="仿宋_GB2312" w:cs="仿宋_GB2312"/>
          <w:color w:val="000000"/>
          <w:sz w:val="32"/>
          <w:szCs w:val="32"/>
        </w:rPr>
        <w:t>的综合质量水平；</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——面向中小博物馆、非国有博物馆开展对口帮扶、馆际协作情况；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——实施“博物馆+”战略，与教育、科技、旅游、商业、传媒、设计等各类社会机构开展跨界合作情况。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b）国际交流：主要考察博物馆与国（境）外博物馆、文化机构开展文化交流，组织实施国际交流展览、学术交流活动的情况。具体考察内容包括：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——独立或参与举办进出境展览的综合质量水平；</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——举办国际学术研讨活动的综合质量水平；</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——参加国际学术交流活动的总体情况；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——组织开展或参与文物保护、考古、科研等领域国际合作项目的情况。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数字传播：主要考察发挥自身文化资源优势，加强与融媒体合作，创新线上数字化体验产品和服务，发展云展览、云讲解、云教育（云课程）、短视频、高清直播、虚拟展厅、沉浸式体验等，构建线上线下融合的博物馆传播体系的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——为便于社会利用藏品资源，在本馆官方网站等渠道开放查询、展示藏品数据信息和高清影像的情况；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——与融媒体平台合作，针对网络受众推出的云展览、云讲解、云教育（云课程）、短视频、高清直播、虚拟展厅、沉浸式体验等各类线上数字化体验产品的情况；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——代表性线上数字化体验产品的质量水平。</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d）文创经营：主要考察博物馆通过授权等手段开发文创产品，建立文创品牌，推动文化传播的情况。具体考察内容包括：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——博物馆通过授权等手段开发文创产品的种类、特色以及获得经济、社会效益的情况；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——代表性文创产品质量水平；</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——代表性文创产品的品牌创建及其社会认知、认可度。</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7.3 社会评价</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7.3.1 观众反馈</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a）观众结构：主要考察博物馆接待的观众数量及构成情况。具体考察内容包括：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——博物馆年均接待观众数量规模与博物馆接待能力相适应情况；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——博物馆观众构成与博物馆文化主题相适应情况。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b）观众满意度：主要考察观众对博物馆的展览、环境、服务等方面</w:t>
      </w:r>
      <w:r>
        <w:rPr>
          <w:rFonts w:hint="eastAsia" w:ascii="仿宋_GB2312" w:hAnsi="仿宋_GB2312" w:eastAsia="仿宋_GB2312" w:cs="仿宋_GB2312"/>
          <w:color w:val="000000"/>
          <w:sz w:val="32"/>
          <w:szCs w:val="32"/>
          <w:lang w:val="en-US" w:eastAsia="zh-CN"/>
        </w:rPr>
        <w:t>作</w:t>
      </w:r>
      <w:r>
        <w:rPr>
          <w:rFonts w:hint="eastAsia" w:ascii="仿宋_GB2312" w:hAnsi="仿宋_GB2312" w:eastAsia="仿宋_GB2312" w:cs="仿宋_GB2312"/>
          <w:color w:val="000000"/>
          <w:sz w:val="32"/>
          <w:szCs w:val="32"/>
        </w:rPr>
        <w:t>出的总体评价情况。具体考察内容包括：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——博物馆观众调查制度建设与调查工作开展情况；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——近期观众调查反映的观众满意度情况；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——观众对博物馆的展览、环境、服务等方面</w:t>
      </w:r>
      <w:r>
        <w:rPr>
          <w:rFonts w:hint="eastAsia" w:ascii="仿宋_GB2312" w:hAnsi="仿宋_GB2312" w:eastAsia="仿宋_GB2312" w:cs="仿宋_GB2312"/>
          <w:color w:val="000000"/>
          <w:sz w:val="32"/>
          <w:szCs w:val="32"/>
          <w:lang w:eastAsia="zh-CN"/>
        </w:rPr>
        <w:t>作</w:t>
      </w:r>
      <w:r>
        <w:rPr>
          <w:rFonts w:hint="eastAsia" w:ascii="仿宋_GB2312" w:hAnsi="仿宋_GB2312" w:eastAsia="仿宋_GB2312" w:cs="仿宋_GB2312"/>
          <w:color w:val="000000"/>
          <w:sz w:val="32"/>
          <w:szCs w:val="32"/>
        </w:rPr>
        <w:t>出的总体评价。</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7.3.2 社会影响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a）社会关注度：主要考察公众、媒体等对博物馆的关注程度。具体考察内容包括：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——互联网公开数据显示的博物馆公众关注程度情况；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——互联网公开数据显示的博物馆媒体关注程度情况。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b）奖励与荣誉：主要考察博物馆获得党委、政府或社会团体的表彰奖励情况。具体考察内容包括：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——评估周期内，党委、政府或社会组织授予博物馆的组织荣誉与奖励情况；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——评估周期内，党委、政府或社会组织授予博物馆员工的个人荣誉与奖励情况。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c）公众参与：主要考察博物馆与公众建立联系、获得支持的情况。具体考察内容包括：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——“博物馆之友”活动组织开展情况；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——博物馆志愿者组织建设与服务工作情况；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——博物馆接受社会捐助情况。</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8.定量评估指标及考察要点</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8.1 规范管理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8.1.1 组织管理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a）召开理事会次数：评估周期内，博物馆理事会召开会议的次数，以次为单位（未成立理事会的，本项数据为0）；</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b）新增制度数量：评估周期内，博物馆新增制订或重新修订发布的各类制度文件总数，以项为单位；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c）副高级职称、正高级职称人员总数：评估周期末，本馆在职人员中，具有高级专业技术资格（职称）的专业技术人员数量，以人为单位；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d）平均从业年限：本馆专业技术人员从事博物馆工作的平均年限。</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e）出国（境）进修（培训）人员：评估周期内，在国（境）外进修或培训与博物馆业务相关的博物馆在职人员（含访问学者），其中“进修”持续时间须在1个月（含）以上，“培训”须在1周（含）以上，以人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f）国内进修（培训）人员：评估周期内，在国内高等学校、科研机构、社会团体、其他机构进修或培训与博物馆业务相关的博物馆在职人员（含访问学者），其中“进修”持续时间须在1个月（含）以上，“培训”须在1周（含）以上，以人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8.1.2 藏品管理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a）年度新增藏品数：评估周期内，博物馆通过购买、接受捐赠、依法交换等法律、行政法规规定的方式取得并已建档的藏品数量，以件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为单位。自然科学类博物馆自主研发制作并长久保存的标本、模型、辅助展品视同于藏品。</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b）新增备案登录藏品数量：评估周期内，通过藏品管理信息系统，新增登录数据或建立数字化藏品档案的藏品数量，或向属地文物主管部门备案藏品档案的藏品数量，以件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c）修复文物数：评估周期内，博物馆修复的本馆藏品数，包括本馆自己修复和委托其他单位修复的藏品，以件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为单位。遗址类博物馆对本馆范围内不可移动文物的保护修复工作可以视为藏品修复工作。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d）修复本馆文物数：评估周期内，博物馆独立自主修复的本馆藏品数，不包括委托其他单位修复的藏品，以件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为单位。遗址类博物馆对本馆范围内不可移动文物的保护修复工作可以视为藏品修复工作。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e）采集藏品三维影像数据量：评估周期内，采集保存文物三维影像信息，并应用于推广和传播的文物藏品数量，以件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f）库房面积：评估周期末，博物馆拥有藏品库房的实际面积，有多处馆舍的，可以合并计算，以平方米为单位。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8.1.3 开放管理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a）全年开放天数：评估周期内，博物馆全年对外开放天数，以天为单位。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b）在线服务总量：评估周期内，博物馆通过互联网、新媒体为公众提供参观预约、虚拟展示、藏品赏析、资料分享、咨询答疑、文化产品营销、互动联系等在线服务的人次总量，以人次为单位。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8.1.4 安全管理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a）安保人员数：评估周期末，博物馆在职的安保人员，包括专职保卫干部和外聘的保安人员，以人为单位。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b）安全演练次数：评估周期内，博物馆组织开展有记录的安防、消防演练的次数，以次为单位。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8.2 服务产出</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8.2.1 科学研究</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a）科研项目数：评估周期内，博物馆承担的各类科研项目总数（含考古发掘项目），以立项年度为准，以项为单位。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省部级（含）以上研究项目：包含国际合作研究项目、国家级项目以及其他省级（含）以上项目。其中，国际合作研究项目指与博物馆自身业务相关且具有协议的项目；国家级项目指博物馆承担的中央各部委、国家自然科学基金、国家社会科学基金、国家艺术基金项目；其他省级（含）以上项目指各省、自治区、直辖市政府委托项目，以项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c）出版物数：评估周期内，博物馆编辑出版的各类出版物总数，以册为单位。其中学术专著（译著、编著）、教材、研究性图录、科普读物可根据WW/T0092-2018附录D规定的科研产出数量换算倍数关系加倍计数。</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d）发表论文数：评估周期内，博物馆工作人员在各类期刊、刊物上发表的学术论文总数，以篇为单位。其中在核心期刊发表学术论文可根据WW/T</w:t>
      </w:r>
      <w:r>
        <w:rPr>
          <w:rFonts w:hint="eastAsia" w:ascii="仿宋_GB2312" w:hAnsi="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0092-2018附录D规定的科研产出数量换算倍数关系加倍计数。</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e）获得专利数：评估周期内，博物馆获得专利行政部门正式批准，取得专利证书，专利权归属本馆的专利项目数量，以项为单位。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f）参与编制标准数：评估周期内，博物馆参与编制国家、行业、地方标准的数量，以项为单位。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8.2.2 陈列展览</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a）基本陈列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含原状陈列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数：评估周期内，博物馆内开放的常设基本陈列数量，包括在文物建筑中举办的原状陈列，按照陈列项目统计，以个为单位。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b）馆内原创临时展览数：评估周期内，博物馆利用本馆资源，本馆负责策展，内容及形式自主设计并组织展示，在本馆内自主举办的临时展览数量，按照展览项目统计，以个为单位。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c）馆际合作展览数：评估周期内，博物馆与其他国内博物馆或相关机构联合策划举办的临时展览数量（单纯出借文物参展不在此列）。</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8.2.3 教育服务</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a）讲解队伍人数：评估周期末，博物馆讲解队伍中的专职讲解员和志愿者讲解员人数，以人为单位。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b）人工讲解服务人次：评估周期内，博物馆人工讲解年服务的观众数量，以人次为单位。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c）智慧导览设备终端数：评估周期末，博物馆拥有的智慧导览设备终端数，以台为单位。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d）智慧导览设备服务人次：评估周期内，博物馆智慧导览设备年服务的观众数量，以人次为单位。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e）线下教育活动数：评估周期内，博物馆线下策划举办的课程、讲座、研学活动、进校园活动等各类教育活动场次数，以场为单位。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f）青少年教育课程数：评估周期内，结合大中小学生认知规律和学校教育教学需要研发博物馆教育课程的品类数量，按照课程门类统计，同类课程多次开展，按一课统计，以课为单位。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g）共建学校数量：评估周期内，博物馆与当地各类学校联系，签订馆校共建协议或举办馆校互动活动的合作学校数量，以校为单位。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h）学校教育服务次数：评估周期内，接待各类大中小学校利用博物馆资源，组织开展爱国主义、革命传统、中华优秀传统文化、生态文明、国家安全、“大思政课”等主题的研学实践教育、教学活动的次数，以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i）培训师资人数：评估周期内，博物馆与各类学校合作通过教师研习、双师课堂、短期培训、联合教研等方式，联合培养博物馆教育培训师资人数，以人为单位。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j）教育活动参与人数：评估周期内，博物馆接纳观众进行社会实践、教育活动的人次总数，以人次为单位。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k）鉴定场次：评估周期内，博物馆策划举办的公益鉴定服务场次数，以场为单位。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l）鉴定数量：评估周期内，博物馆开展公益鉴定服务时鉴定的</w:t>
      </w:r>
      <w:r>
        <w:rPr>
          <w:rFonts w:hint="eastAsia" w:ascii="仿宋_GB2312" w:hAnsi="仿宋_GB2312" w:cs="仿宋_GB2312"/>
          <w:color w:val="000000"/>
          <w:sz w:val="32"/>
          <w:szCs w:val="32"/>
          <w:lang w:eastAsia="zh-CN"/>
        </w:rPr>
        <w:t>文物</w:t>
      </w:r>
      <w:r>
        <w:rPr>
          <w:rFonts w:hint="eastAsia" w:ascii="仿宋_GB2312" w:hAnsi="仿宋_GB2312" w:eastAsia="仿宋_GB2312" w:cs="仿宋_GB2312"/>
          <w:color w:val="000000"/>
          <w:sz w:val="32"/>
          <w:szCs w:val="32"/>
        </w:rPr>
        <w:t>数量，以件为单位。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8.2.4 文化传播</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a）输出展览数：评估周期内，博物馆将本馆原创展览向国内输出的临时展览的次数，不包括本馆提供展品参加展览的情况，按展览场次统计，以次为单位。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b）入境展览数：评估周期内，博物馆由国外、境外博物馆或相关机构引进的展览数量，按照展览项目统计，以个为单位。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c）出境展览数：评估周期内，博物馆向国外、境外博物馆或相关机构输出的出境展览数量，按照展览项目统计，以个为单位。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d）国内学术研讨活动次数：评估周期内，博物馆主办或承办的主题与博物馆业务相关的学术论坛、研讨会、座谈会、在线对话等国内各类学术研讨活动，以次为单位。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e）国际学术研讨活动次数：评估周期内，博物馆主办或承办的主题与博物馆业务相关，有国外、境外机构或个人参加的学术论坛、研讨会、座谈会、在线对话等各类双边、多边国际学术研讨活动，以次为单位。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f）文化创意产品数：评估周期内，博物馆依托馆藏文化资源，新开发并上市销售的文化创意产品种类数量，包括由博物馆自主或委托、授权企业或与企业合作开发、销售的文化创意产品种类，以类为单位。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g）文化创意产品销售收入：评估周期内，博物馆自主或委托、授权企业销售博物馆文创产品取得的收入总额，以元为单位。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h）公开藏品信息数量：评估周期内，博物馆在网站、官方微信、官方微博等渠道公开未经陈列展览展出的藏品数量，以件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为单位。公开的文物藏品应当有年代、来源以及历史、艺术、科学等价值方面的介绍；其他类型藏品应有必要的介绍。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i）线上数字化体验产品数量：评估周期内由博物馆开发并上线运行的云展览、云讲解、云教育（云课程）、短视频、高清直播、虚拟展厅、沉浸式体验等线上数字化体验产品或在线活动数量，以项为单位。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j）线上数字化体验产品浏览量：评估周期内由博物馆开发并上线运行的云展览、云讲解、云教育（云课程）、短视频、高清直播、虚拟展厅、沉浸式体验等线上数字化体验产品或在线活动总浏览量，以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8.3 社会评价</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8.3.1 观众反馈</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a）年度观众总数：评估周期内，博物馆接待的观众总数，拥有多处馆舍的，观众人数可以合并计算，以人次为单位。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b）临时展览参观人数：评估周期内，博物馆临时展览参观人数，以人次为单位。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c）未成年观众人数：评估周期内，博物馆接待的18岁以下未成年观众数，以人次为单位。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d）国（境）外观众人数：评估周期内，博物馆接待国外以及台、港、澳观众数量，以人次为单位。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e）免费参观人数：评估周期内，博物馆观众总数中免费接待观众总人数，以人次为单位。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f）受控参观人数：评估周期内，遇重大突发公共卫生事件或自然灾害等不可抗力情况下，博物馆在有关部门限定范围内接待观众总人数，以人次为单位。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8.3.2 社会影响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a）网站综合浏览量：博物馆网站年度综合浏览量，以次为单位统计。</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b）新媒体关注量：评估周期末，博物馆各新媒体帐号关注人数总和，以人为单位统计。</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c）新媒体访问量：评估周期内，博物馆各新媒体帐号浏览总量，以次为单位统计。</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d）主流媒体报道次数：地市级以上主流平面媒体、广播电视媒体、网络媒体专题报道博物馆及活动宣传内容的次数。</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e）部（省）级集体奖励：评估周期内，博物馆获得部委（省）级以上单位颁发的奖励或荣誉称号，以项为单位。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f）部（省）级个人奖励：评估周期内，博物馆工作人员获得部委（省）级以上单位颁发的奖励或荣誉称号，以项为单位。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g）其他集体奖励：评估周期内，博物馆获得地市（厅）级以下单位颁发的各类奖励或荣誉称号，以项为单位。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h）其他个人奖励：评估周期内，博物馆工作人员获得地市（厅）级以下单位颁发的各类奖励或荣誉称号，以项为单位。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i）接受捐赠次数：评估周期内，博物馆接受各类社会捐助的次数，以次为单位。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j）接受捐赠金额：评估周期内，博物馆接受各类社会捐助的总金额，以元为单位。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k）志愿者人数：评估周期末，博物馆注册志愿者总人数</w:t>
      </w:r>
      <w:r>
        <w:rPr>
          <w:rFonts w:hint="eastAsia" w:ascii="仿宋_GB2312" w:hAnsi="仿宋_GB2312" w:cs="仿宋_GB2312"/>
          <w:color w:val="000000"/>
          <w:sz w:val="32"/>
          <w:szCs w:val="32"/>
          <w:lang w:eastAsia="zh-CN"/>
        </w:rPr>
        <w:t>，以人为单位</w:t>
      </w:r>
      <w:r>
        <w:rPr>
          <w:rFonts w:hint="eastAsia" w:ascii="仿宋_GB2312" w:hAnsi="仿宋_GB2312" w:eastAsia="仿宋_GB2312" w:cs="仿宋_GB2312"/>
          <w:color w:val="000000"/>
          <w:sz w:val="32"/>
          <w:szCs w:val="32"/>
        </w:rPr>
        <w:t>。</w:t>
      </w:r>
    </w:p>
    <w:p>
      <w:pPr>
        <w:jc w:val="center"/>
        <w:rPr>
          <w:rFonts w:ascii="黑体" w:hAnsi="Times New Roman" w:eastAsia="黑体" w:cs="Times New Roman"/>
          <w:color w:val="000000"/>
          <w:kern w:val="0"/>
          <w:sz w:val="28"/>
          <w:szCs w:val="28"/>
        </w:rPr>
      </w:pPr>
      <w:r>
        <w:rPr>
          <w:color w:val="000000"/>
          <w:sz w:val="28"/>
          <w:szCs w:val="28"/>
        </w:rPr>
        <w:br w:type="page"/>
      </w:r>
      <w:r>
        <w:rPr>
          <w:rFonts w:hint="eastAsia" w:ascii="黑体" w:hAnsi="Times New Roman" w:eastAsia="黑体" w:cs="Times New Roman"/>
          <w:color w:val="000000"/>
          <w:kern w:val="0"/>
          <w:sz w:val="28"/>
          <w:szCs w:val="28"/>
        </w:rPr>
        <w:t>附录A</w:t>
      </w:r>
    </w:p>
    <w:p>
      <w:pPr>
        <w:jc w:val="center"/>
        <w:rPr>
          <w:rFonts w:ascii="黑体" w:hAnsi="Times New Roman" w:eastAsia="黑体" w:cs="Times New Roman"/>
          <w:color w:val="000000"/>
          <w:kern w:val="0"/>
          <w:sz w:val="28"/>
          <w:szCs w:val="28"/>
        </w:rPr>
      </w:pPr>
      <w:r>
        <w:rPr>
          <w:rFonts w:hint="eastAsia" w:ascii="黑体" w:hAnsi="Times New Roman" w:eastAsia="黑体" w:cs="Times New Roman"/>
          <w:color w:val="000000"/>
          <w:kern w:val="0"/>
          <w:sz w:val="28"/>
          <w:szCs w:val="28"/>
        </w:rPr>
        <w:t>（规范性）</w:t>
      </w:r>
    </w:p>
    <w:p>
      <w:pPr>
        <w:jc w:val="center"/>
        <w:rPr>
          <w:rFonts w:ascii="黑体" w:hAnsi="Times New Roman" w:eastAsia="黑体" w:cs="Times New Roman"/>
          <w:color w:val="000000"/>
          <w:kern w:val="0"/>
          <w:sz w:val="28"/>
          <w:szCs w:val="28"/>
        </w:rPr>
      </w:pPr>
      <w:r>
        <w:rPr>
          <w:rFonts w:ascii="黑体" w:hAnsi="Times New Roman" w:eastAsia="黑体" w:cs="Times New Roman"/>
          <w:color w:val="000000"/>
          <w:kern w:val="0"/>
          <w:sz w:val="28"/>
          <w:szCs w:val="28"/>
        </w:rPr>
        <w:t>博物馆运行评估指标权重及考察要点</w:t>
      </w:r>
    </w:p>
    <w:p>
      <w:pPr>
        <w:rPr>
          <w:color w:val="000000"/>
        </w:rPr>
      </w:pP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7"/>
        <w:gridCol w:w="1230"/>
        <w:gridCol w:w="4644"/>
        <w:gridCol w:w="600"/>
        <w:gridCol w:w="636"/>
        <w:gridCol w:w="5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trPr>
        <w:tc>
          <w:tcPr>
            <w:tcW w:w="867" w:type="dxa"/>
            <w:vMerge w:val="restart"/>
            <w:noWrap w:val="0"/>
            <w:vAlign w:val="center"/>
          </w:tcPr>
          <w:p>
            <w:pPr>
              <w:jc w:val="center"/>
              <w:rPr>
                <w:b/>
                <w:bCs/>
                <w:color w:val="000000"/>
                <w:sz w:val="24"/>
                <w:szCs w:val="24"/>
              </w:rPr>
            </w:pPr>
            <w:r>
              <w:rPr>
                <w:rFonts w:hint="eastAsia"/>
                <w:b/>
                <w:bCs/>
                <w:color w:val="000000"/>
                <w:sz w:val="24"/>
                <w:szCs w:val="24"/>
              </w:rPr>
              <w:t>序号</w:t>
            </w:r>
          </w:p>
        </w:tc>
        <w:tc>
          <w:tcPr>
            <w:tcW w:w="1230" w:type="dxa"/>
            <w:vMerge w:val="restart"/>
            <w:noWrap w:val="0"/>
            <w:vAlign w:val="center"/>
          </w:tcPr>
          <w:p>
            <w:pPr>
              <w:jc w:val="center"/>
              <w:rPr>
                <w:b/>
                <w:bCs/>
                <w:color w:val="000000"/>
                <w:sz w:val="24"/>
                <w:szCs w:val="24"/>
              </w:rPr>
            </w:pPr>
            <w:r>
              <w:rPr>
                <w:rFonts w:hint="eastAsia"/>
                <w:b/>
                <w:bCs/>
                <w:color w:val="000000"/>
                <w:sz w:val="24"/>
                <w:szCs w:val="24"/>
              </w:rPr>
              <w:t>指标层级</w:t>
            </w:r>
          </w:p>
        </w:tc>
        <w:tc>
          <w:tcPr>
            <w:tcW w:w="4644" w:type="dxa"/>
            <w:vMerge w:val="restart"/>
            <w:noWrap w:val="0"/>
            <w:vAlign w:val="center"/>
          </w:tcPr>
          <w:p>
            <w:pPr>
              <w:jc w:val="center"/>
              <w:rPr>
                <w:b/>
                <w:bCs/>
                <w:color w:val="000000"/>
                <w:sz w:val="24"/>
                <w:szCs w:val="24"/>
              </w:rPr>
            </w:pPr>
            <w:r>
              <w:rPr>
                <w:rFonts w:hint="eastAsia"/>
                <w:b/>
                <w:bCs/>
                <w:color w:val="000000"/>
                <w:sz w:val="24"/>
                <w:szCs w:val="24"/>
              </w:rPr>
              <w:t>指标名称或考察要点</w:t>
            </w:r>
          </w:p>
        </w:tc>
        <w:tc>
          <w:tcPr>
            <w:tcW w:w="1781" w:type="dxa"/>
            <w:gridSpan w:val="3"/>
            <w:noWrap w:val="0"/>
            <w:vAlign w:val="center"/>
          </w:tcPr>
          <w:p>
            <w:pPr>
              <w:jc w:val="center"/>
              <w:rPr>
                <w:rFonts w:hint="eastAsia"/>
                <w:b/>
                <w:bCs/>
                <w:color w:val="000000"/>
                <w:sz w:val="24"/>
                <w:szCs w:val="24"/>
              </w:rPr>
            </w:pPr>
            <w:r>
              <w:rPr>
                <w:rFonts w:hint="eastAsia"/>
                <w:b/>
                <w:bCs/>
                <w:color w:val="000000"/>
                <w:sz w:val="24"/>
                <w:szCs w:val="24"/>
              </w:rPr>
              <w:t>指标权重</w:t>
            </w:r>
          </w:p>
          <w:p>
            <w:pPr>
              <w:jc w:val="center"/>
              <w:rPr>
                <w:b/>
                <w:bCs/>
                <w:color w:val="000000"/>
                <w:sz w:val="24"/>
                <w:szCs w:val="24"/>
              </w:rPr>
            </w:pPr>
            <w:r>
              <w:rPr>
                <w:rFonts w:hint="eastAsia"/>
                <w:b/>
                <w:bCs/>
                <w:color w:val="000000"/>
                <w:sz w:val="24"/>
                <w:szCs w:val="24"/>
              </w:rPr>
              <w:t>或原始分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867" w:type="dxa"/>
            <w:vMerge w:val="continue"/>
            <w:noWrap w:val="0"/>
            <w:vAlign w:val="center"/>
          </w:tcPr>
          <w:p>
            <w:pPr>
              <w:ind w:firstLine="422"/>
              <w:rPr>
                <w:b/>
                <w:bCs/>
                <w:color w:val="000000"/>
                <w:sz w:val="24"/>
                <w:szCs w:val="24"/>
              </w:rPr>
            </w:pPr>
          </w:p>
        </w:tc>
        <w:tc>
          <w:tcPr>
            <w:tcW w:w="1230" w:type="dxa"/>
            <w:vMerge w:val="continue"/>
            <w:noWrap w:val="0"/>
            <w:vAlign w:val="center"/>
          </w:tcPr>
          <w:p>
            <w:pPr>
              <w:ind w:firstLine="422"/>
              <w:jc w:val="center"/>
              <w:rPr>
                <w:b/>
                <w:bCs/>
                <w:color w:val="000000"/>
                <w:sz w:val="24"/>
                <w:szCs w:val="24"/>
              </w:rPr>
            </w:pPr>
          </w:p>
        </w:tc>
        <w:tc>
          <w:tcPr>
            <w:tcW w:w="4644" w:type="dxa"/>
            <w:vMerge w:val="continue"/>
            <w:noWrap w:val="0"/>
            <w:vAlign w:val="center"/>
          </w:tcPr>
          <w:p>
            <w:pPr>
              <w:ind w:firstLine="422"/>
              <w:rPr>
                <w:b/>
                <w:bCs/>
                <w:color w:val="000000"/>
                <w:sz w:val="24"/>
                <w:szCs w:val="24"/>
              </w:rPr>
            </w:pPr>
          </w:p>
        </w:tc>
        <w:tc>
          <w:tcPr>
            <w:tcW w:w="600" w:type="dxa"/>
            <w:noWrap w:val="0"/>
            <w:vAlign w:val="center"/>
          </w:tcPr>
          <w:p>
            <w:pPr>
              <w:jc w:val="center"/>
              <w:rPr>
                <w:b/>
                <w:bCs/>
                <w:color w:val="000000"/>
                <w:sz w:val="24"/>
                <w:szCs w:val="24"/>
              </w:rPr>
            </w:pPr>
            <w:r>
              <w:rPr>
                <w:rFonts w:hint="eastAsia"/>
                <w:b/>
                <w:bCs/>
                <w:color w:val="000000"/>
                <w:sz w:val="24"/>
                <w:szCs w:val="24"/>
              </w:rPr>
              <w:t>一级</w:t>
            </w:r>
          </w:p>
        </w:tc>
        <w:tc>
          <w:tcPr>
            <w:tcW w:w="636" w:type="dxa"/>
            <w:noWrap w:val="0"/>
            <w:vAlign w:val="center"/>
          </w:tcPr>
          <w:p>
            <w:pPr>
              <w:jc w:val="center"/>
              <w:rPr>
                <w:b/>
                <w:bCs/>
                <w:color w:val="000000"/>
                <w:sz w:val="24"/>
                <w:szCs w:val="24"/>
              </w:rPr>
            </w:pPr>
            <w:r>
              <w:rPr>
                <w:rFonts w:hint="eastAsia"/>
                <w:b/>
                <w:bCs/>
                <w:color w:val="000000"/>
                <w:sz w:val="24"/>
                <w:szCs w:val="24"/>
              </w:rPr>
              <w:t>二级</w:t>
            </w:r>
          </w:p>
        </w:tc>
        <w:tc>
          <w:tcPr>
            <w:tcW w:w="545" w:type="dxa"/>
            <w:noWrap w:val="0"/>
            <w:vAlign w:val="center"/>
          </w:tcPr>
          <w:p>
            <w:pPr>
              <w:jc w:val="center"/>
              <w:rPr>
                <w:b/>
                <w:bCs/>
                <w:color w:val="000000"/>
                <w:sz w:val="24"/>
                <w:szCs w:val="24"/>
              </w:rPr>
            </w:pPr>
            <w:r>
              <w:rPr>
                <w:rFonts w:hint="eastAsia"/>
                <w:b/>
                <w:bCs/>
                <w:color w:val="000000"/>
                <w:sz w:val="24"/>
                <w:szCs w:val="24"/>
              </w:rPr>
              <w:t>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trPr>
        <w:tc>
          <w:tcPr>
            <w:tcW w:w="867" w:type="dxa"/>
            <w:noWrap w:val="0"/>
            <w:vAlign w:val="center"/>
          </w:tcPr>
          <w:p>
            <w:pPr>
              <w:rPr>
                <w:b/>
                <w:bCs/>
                <w:color w:val="000000"/>
                <w:sz w:val="24"/>
                <w:szCs w:val="24"/>
              </w:rPr>
            </w:pPr>
            <w:r>
              <w:rPr>
                <w:rFonts w:hint="eastAsia"/>
                <w:b/>
                <w:bCs/>
                <w:color w:val="000000"/>
                <w:sz w:val="24"/>
                <w:szCs w:val="24"/>
              </w:rPr>
              <w:t>1</w:t>
            </w:r>
          </w:p>
        </w:tc>
        <w:tc>
          <w:tcPr>
            <w:tcW w:w="1230" w:type="dxa"/>
            <w:noWrap w:val="0"/>
            <w:vAlign w:val="center"/>
          </w:tcPr>
          <w:p>
            <w:pPr>
              <w:jc w:val="center"/>
              <w:rPr>
                <w:b/>
                <w:bCs/>
                <w:color w:val="000000"/>
                <w:sz w:val="24"/>
                <w:szCs w:val="24"/>
              </w:rPr>
            </w:pPr>
            <w:r>
              <w:rPr>
                <w:rFonts w:hint="eastAsia"/>
                <w:b/>
                <w:bCs/>
                <w:color w:val="000000"/>
                <w:sz w:val="24"/>
                <w:szCs w:val="24"/>
              </w:rPr>
              <w:t>一级指标</w:t>
            </w:r>
          </w:p>
        </w:tc>
        <w:tc>
          <w:tcPr>
            <w:tcW w:w="4644" w:type="dxa"/>
            <w:noWrap w:val="0"/>
            <w:vAlign w:val="center"/>
          </w:tcPr>
          <w:p>
            <w:pPr>
              <w:rPr>
                <w:b/>
                <w:bCs/>
                <w:color w:val="000000"/>
                <w:sz w:val="24"/>
                <w:szCs w:val="24"/>
              </w:rPr>
            </w:pPr>
            <w:r>
              <w:rPr>
                <w:rFonts w:hint="eastAsia"/>
                <w:b/>
                <w:bCs/>
                <w:color w:val="000000"/>
                <w:sz w:val="24"/>
                <w:szCs w:val="24"/>
              </w:rPr>
              <w:t>规范管理</w:t>
            </w:r>
          </w:p>
        </w:tc>
        <w:tc>
          <w:tcPr>
            <w:tcW w:w="1781" w:type="dxa"/>
            <w:gridSpan w:val="3"/>
            <w:noWrap w:val="0"/>
            <w:vAlign w:val="center"/>
          </w:tcPr>
          <w:p>
            <w:pPr>
              <w:jc w:val="center"/>
              <w:rPr>
                <w:b/>
                <w:bCs/>
                <w:color w:val="000000"/>
                <w:sz w:val="24"/>
                <w:szCs w:val="24"/>
              </w:rPr>
            </w:pPr>
            <w:r>
              <w:rPr>
                <w:rFonts w:hint="eastAsia"/>
                <w:b/>
                <w:bCs/>
                <w:color w:val="000000"/>
                <w:sz w:val="24"/>
                <w:szCs w:val="24"/>
              </w:rPr>
              <w:t>指标权重25%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rPr>
                <w:color w:val="000000"/>
                <w:sz w:val="24"/>
                <w:szCs w:val="24"/>
              </w:rPr>
            </w:pPr>
            <w:r>
              <w:rPr>
                <w:rFonts w:hint="eastAsia"/>
                <w:color w:val="000000"/>
                <w:sz w:val="24"/>
                <w:szCs w:val="24"/>
              </w:rPr>
              <w:t>1.1</w:t>
            </w:r>
          </w:p>
        </w:tc>
        <w:tc>
          <w:tcPr>
            <w:tcW w:w="1230" w:type="dxa"/>
            <w:noWrap w:val="0"/>
            <w:vAlign w:val="center"/>
          </w:tcPr>
          <w:p>
            <w:pPr>
              <w:jc w:val="center"/>
              <w:rPr>
                <w:color w:val="000000"/>
                <w:sz w:val="24"/>
                <w:szCs w:val="24"/>
              </w:rPr>
            </w:pPr>
            <w:r>
              <w:rPr>
                <w:rFonts w:hint="eastAsia"/>
                <w:color w:val="000000"/>
                <w:sz w:val="24"/>
                <w:szCs w:val="24"/>
              </w:rPr>
              <w:t>二级指标</w:t>
            </w:r>
          </w:p>
        </w:tc>
        <w:tc>
          <w:tcPr>
            <w:tcW w:w="4644" w:type="dxa"/>
            <w:noWrap w:val="0"/>
            <w:vAlign w:val="center"/>
          </w:tcPr>
          <w:p>
            <w:pPr>
              <w:rPr>
                <w:color w:val="000000"/>
                <w:sz w:val="24"/>
                <w:szCs w:val="24"/>
              </w:rPr>
            </w:pPr>
            <w:r>
              <w:rPr>
                <w:rFonts w:hint="eastAsia"/>
                <w:color w:val="000000"/>
                <w:sz w:val="24"/>
                <w:szCs w:val="24"/>
              </w:rPr>
              <w:t>组织管理</w:t>
            </w:r>
          </w:p>
        </w:tc>
        <w:tc>
          <w:tcPr>
            <w:tcW w:w="1781" w:type="dxa"/>
            <w:gridSpan w:val="3"/>
            <w:noWrap w:val="0"/>
            <w:vAlign w:val="center"/>
          </w:tcPr>
          <w:p>
            <w:pPr>
              <w:jc w:val="center"/>
              <w:rPr>
                <w:color w:val="000000"/>
                <w:sz w:val="24"/>
                <w:szCs w:val="24"/>
              </w:rPr>
            </w:pPr>
            <w:r>
              <w:rPr>
                <w:rFonts w:hint="eastAsia"/>
                <w:color w:val="000000"/>
                <w:sz w:val="24"/>
                <w:szCs w:val="24"/>
              </w:rPr>
              <w:t>指标权重4%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定性评估指标（原始分100分）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1.1.1</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法人治理</w:t>
            </w:r>
          </w:p>
        </w:tc>
        <w:tc>
          <w:tcPr>
            <w:tcW w:w="600" w:type="dxa"/>
            <w:noWrap w:val="0"/>
            <w:vAlign w:val="center"/>
          </w:tcPr>
          <w:p>
            <w:pPr>
              <w:jc w:val="center"/>
              <w:rPr>
                <w:color w:val="000000"/>
                <w:sz w:val="24"/>
                <w:szCs w:val="24"/>
              </w:rPr>
            </w:pPr>
            <w:r>
              <w:rPr>
                <w:rFonts w:hint="eastAsia"/>
                <w:color w:val="000000"/>
                <w:sz w:val="24"/>
                <w:szCs w:val="24"/>
              </w:rPr>
              <w:t>29</w:t>
            </w:r>
          </w:p>
        </w:tc>
        <w:tc>
          <w:tcPr>
            <w:tcW w:w="636" w:type="dxa"/>
            <w:noWrap w:val="0"/>
            <w:vAlign w:val="center"/>
          </w:tcPr>
          <w:p>
            <w:pPr>
              <w:jc w:val="center"/>
              <w:rPr>
                <w:color w:val="000000"/>
                <w:sz w:val="24"/>
                <w:szCs w:val="24"/>
              </w:rPr>
            </w:pPr>
            <w:r>
              <w:rPr>
                <w:rFonts w:hint="eastAsia"/>
                <w:color w:val="000000"/>
                <w:sz w:val="24"/>
                <w:szCs w:val="24"/>
              </w:rPr>
              <w:t>34</w:t>
            </w:r>
          </w:p>
        </w:tc>
        <w:tc>
          <w:tcPr>
            <w:tcW w:w="545" w:type="dxa"/>
            <w:noWrap w:val="0"/>
            <w:vAlign w:val="center"/>
          </w:tcPr>
          <w:p>
            <w:pPr>
              <w:jc w:val="center"/>
              <w:rPr>
                <w:color w:val="000000"/>
                <w:sz w:val="24"/>
                <w:szCs w:val="24"/>
              </w:rPr>
            </w:pPr>
            <w:r>
              <w:rPr>
                <w:rFonts w:hint="eastAsia"/>
                <w:color w:val="000000"/>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理事会或其他形式决策机构组成人员情况</w:t>
            </w:r>
          </w:p>
        </w:tc>
        <w:tc>
          <w:tcPr>
            <w:tcW w:w="600" w:type="dxa"/>
            <w:noWrap w:val="0"/>
            <w:vAlign w:val="center"/>
          </w:tcPr>
          <w:p>
            <w:pPr>
              <w:jc w:val="center"/>
              <w:rPr>
                <w:color w:val="000000"/>
                <w:sz w:val="24"/>
                <w:szCs w:val="24"/>
              </w:rPr>
            </w:pPr>
            <w:r>
              <w:rPr>
                <w:rFonts w:hint="eastAsia"/>
                <w:color w:val="000000"/>
                <w:sz w:val="24"/>
                <w:szCs w:val="24"/>
              </w:rPr>
              <w:t>9</w:t>
            </w:r>
          </w:p>
        </w:tc>
        <w:tc>
          <w:tcPr>
            <w:tcW w:w="636" w:type="dxa"/>
            <w:noWrap w:val="0"/>
            <w:vAlign w:val="center"/>
          </w:tcPr>
          <w:p>
            <w:pPr>
              <w:jc w:val="center"/>
              <w:rPr>
                <w:color w:val="000000"/>
                <w:sz w:val="24"/>
                <w:szCs w:val="24"/>
              </w:rPr>
            </w:pPr>
            <w:r>
              <w:rPr>
                <w:rFonts w:hint="eastAsia"/>
                <w:color w:val="000000"/>
                <w:sz w:val="24"/>
                <w:szCs w:val="24"/>
              </w:rPr>
              <w:t>12</w:t>
            </w:r>
          </w:p>
        </w:tc>
        <w:tc>
          <w:tcPr>
            <w:tcW w:w="545" w:type="dxa"/>
            <w:noWrap w:val="0"/>
            <w:vAlign w:val="center"/>
          </w:tcPr>
          <w:p>
            <w:pPr>
              <w:jc w:val="center"/>
              <w:rPr>
                <w:color w:val="000000"/>
                <w:sz w:val="24"/>
                <w:szCs w:val="24"/>
              </w:rPr>
            </w:pPr>
            <w:r>
              <w:rPr>
                <w:rFonts w:hint="eastAsia"/>
                <w:color w:val="00000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理事会或其他形式决策机构履行职责，以及博物馆对于理事会相关决议、建议执行采纳情况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11</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监事会或其他形式</w:t>
            </w:r>
            <w:r>
              <w:rPr>
                <w:rFonts w:hint="eastAsia"/>
                <w:color w:val="000000"/>
                <w:sz w:val="24"/>
                <w:szCs w:val="24"/>
                <w:lang w:eastAsia="zh-CN"/>
              </w:rPr>
              <w:t>监督</w:t>
            </w:r>
            <w:r>
              <w:rPr>
                <w:rFonts w:hint="eastAsia"/>
                <w:color w:val="000000"/>
                <w:sz w:val="24"/>
                <w:szCs w:val="24"/>
              </w:rPr>
              <w:t>机构组建、运行情况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11</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67" w:type="dxa"/>
            <w:noWrap w:val="0"/>
            <w:vAlign w:val="center"/>
          </w:tcPr>
          <w:p>
            <w:pPr>
              <w:jc w:val="left"/>
              <w:rPr>
                <w:color w:val="000000"/>
                <w:sz w:val="24"/>
                <w:szCs w:val="24"/>
              </w:rPr>
            </w:pPr>
            <w:r>
              <w:rPr>
                <w:rFonts w:hint="eastAsia"/>
                <w:color w:val="000000"/>
                <w:sz w:val="24"/>
                <w:szCs w:val="24"/>
              </w:rPr>
              <w:t>1.1.2</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制度规划</w:t>
            </w:r>
          </w:p>
        </w:tc>
        <w:tc>
          <w:tcPr>
            <w:tcW w:w="600" w:type="dxa"/>
            <w:noWrap w:val="0"/>
            <w:vAlign w:val="center"/>
          </w:tcPr>
          <w:p>
            <w:pPr>
              <w:jc w:val="center"/>
              <w:rPr>
                <w:color w:val="000000"/>
                <w:sz w:val="24"/>
                <w:szCs w:val="24"/>
              </w:rPr>
            </w:pPr>
            <w:r>
              <w:rPr>
                <w:rFonts w:hint="eastAsia"/>
                <w:color w:val="000000"/>
                <w:sz w:val="24"/>
                <w:szCs w:val="24"/>
              </w:rPr>
              <w:t>42</w:t>
            </w:r>
          </w:p>
        </w:tc>
        <w:tc>
          <w:tcPr>
            <w:tcW w:w="636" w:type="dxa"/>
            <w:noWrap w:val="0"/>
            <w:vAlign w:val="center"/>
          </w:tcPr>
          <w:p>
            <w:pPr>
              <w:jc w:val="center"/>
              <w:rPr>
                <w:color w:val="000000"/>
                <w:sz w:val="24"/>
                <w:szCs w:val="24"/>
              </w:rPr>
            </w:pPr>
            <w:r>
              <w:rPr>
                <w:rFonts w:hint="eastAsia"/>
                <w:color w:val="000000"/>
                <w:sz w:val="24"/>
                <w:szCs w:val="24"/>
              </w:rPr>
              <w:t>33</w:t>
            </w:r>
          </w:p>
        </w:tc>
        <w:tc>
          <w:tcPr>
            <w:tcW w:w="545" w:type="dxa"/>
            <w:noWrap w:val="0"/>
            <w:vAlign w:val="center"/>
          </w:tcPr>
          <w:p>
            <w:pPr>
              <w:jc w:val="center"/>
              <w:rPr>
                <w:color w:val="000000"/>
                <w:sz w:val="24"/>
                <w:szCs w:val="24"/>
              </w:rPr>
            </w:pPr>
            <w:r>
              <w:rPr>
                <w:rFonts w:hint="eastAsia"/>
                <w:color w:val="000000"/>
                <w:sz w:val="24"/>
                <w:szCs w:val="24"/>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博物馆章程制定执行情况</w:t>
            </w:r>
          </w:p>
        </w:tc>
        <w:tc>
          <w:tcPr>
            <w:tcW w:w="600" w:type="dxa"/>
            <w:noWrap w:val="0"/>
            <w:vAlign w:val="center"/>
          </w:tcPr>
          <w:p>
            <w:pPr>
              <w:jc w:val="center"/>
              <w:rPr>
                <w:color w:val="000000"/>
                <w:sz w:val="24"/>
                <w:szCs w:val="24"/>
              </w:rPr>
            </w:pPr>
            <w:r>
              <w:rPr>
                <w:rFonts w:hint="eastAsia"/>
                <w:color w:val="000000"/>
                <w:sz w:val="24"/>
                <w:szCs w:val="24"/>
              </w:rPr>
              <w:t>14</w:t>
            </w:r>
          </w:p>
        </w:tc>
        <w:tc>
          <w:tcPr>
            <w:tcW w:w="636" w:type="dxa"/>
            <w:noWrap w:val="0"/>
            <w:vAlign w:val="center"/>
          </w:tcPr>
          <w:p>
            <w:pPr>
              <w:jc w:val="center"/>
              <w:rPr>
                <w:color w:val="000000"/>
                <w:sz w:val="24"/>
                <w:szCs w:val="24"/>
              </w:rPr>
            </w:pPr>
            <w:r>
              <w:rPr>
                <w:rFonts w:hint="eastAsia"/>
                <w:color w:val="000000"/>
                <w:sz w:val="24"/>
                <w:szCs w:val="24"/>
              </w:rPr>
              <w:t>11</w:t>
            </w:r>
          </w:p>
        </w:tc>
        <w:tc>
          <w:tcPr>
            <w:tcW w:w="545" w:type="dxa"/>
            <w:noWrap w:val="0"/>
            <w:vAlign w:val="center"/>
          </w:tcPr>
          <w:p>
            <w:pPr>
              <w:jc w:val="center"/>
              <w:rPr>
                <w:color w:val="000000"/>
                <w:sz w:val="24"/>
                <w:szCs w:val="24"/>
              </w:rPr>
            </w:pPr>
            <w:r>
              <w:rPr>
                <w:rFonts w:hint="eastAsia"/>
                <w:color w:val="000000"/>
                <w:sz w:val="24"/>
                <w:szCs w:val="24"/>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博物馆中长期发展规划编制、执行情况</w:t>
            </w:r>
          </w:p>
        </w:tc>
        <w:tc>
          <w:tcPr>
            <w:tcW w:w="600" w:type="dxa"/>
            <w:noWrap w:val="0"/>
            <w:vAlign w:val="center"/>
          </w:tcPr>
          <w:p>
            <w:pPr>
              <w:jc w:val="center"/>
              <w:rPr>
                <w:color w:val="000000"/>
                <w:sz w:val="24"/>
                <w:szCs w:val="24"/>
              </w:rPr>
            </w:pPr>
            <w:r>
              <w:rPr>
                <w:rFonts w:hint="eastAsia"/>
                <w:color w:val="000000"/>
                <w:sz w:val="24"/>
                <w:szCs w:val="24"/>
              </w:rPr>
              <w:t>16</w:t>
            </w:r>
          </w:p>
        </w:tc>
        <w:tc>
          <w:tcPr>
            <w:tcW w:w="636" w:type="dxa"/>
            <w:noWrap w:val="0"/>
            <w:vAlign w:val="center"/>
          </w:tcPr>
          <w:p>
            <w:pPr>
              <w:jc w:val="center"/>
              <w:rPr>
                <w:color w:val="000000"/>
                <w:sz w:val="24"/>
                <w:szCs w:val="24"/>
              </w:rPr>
            </w:pPr>
            <w:r>
              <w:rPr>
                <w:rFonts w:hint="eastAsia"/>
                <w:color w:val="000000"/>
                <w:sz w:val="24"/>
                <w:szCs w:val="24"/>
              </w:rPr>
              <w:t>11</w:t>
            </w:r>
          </w:p>
        </w:tc>
        <w:tc>
          <w:tcPr>
            <w:tcW w:w="545" w:type="dxa"/>
            <w:noWrap w:val="0"/>
            <w:vAlign w:val="center"/>
          </w:tcPr>
          <w:p>
            <w:pPr>
              <w:jc w:val="center"/>
              <w:rPr>
                <w:color w:val="000000"/>
                <w:sz w:val="24"/>
                <w:szCs w:val="24"/>
              </w:rPr>
            </w:pPr>
            <w:r>
              <w:rPr>
                <w:rFonts w:hint="eastAsia"/>
                <w:color w:val="000000"/>
                <w:sz w:val="24"/>
                <w:szCs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博物馆内部管理制度体系建设、完善、更新情况</w:t>
            </w:r>
          </w:p>
        </w:tc>
        <w:tc>
          <w:tcPr>
            <w:tcW w:w="600" w:type="dxa"/>
            <w:noWrap w:val="0"/>
            <w:vAlign w:val="center"/>
          </w:tcPr>
          <w:p>
            <w:pPr>
              <w:jc w:val="center"/>
              <w:rPr>
                <w:color w:val="000000"/>
                <w:sz w:val="24"/>
                <w:szCs w:val="24"/>
              </w:rPr>
            </w:pPr>
            <w:r>
              <w:rPr>
                <w:rFonts w:hint="eastAsia"/>
                <w:color w:val="000000"/>
                <w:sz w:val="24"/>
                <w:szCs w:val="24"/>
              </w:rPr>
              <w:t>12</w:t>
            </w:r>
          </w:p>
        </w:tc>
        <w:tc>
          <w:tcPr>
            <w:tcW w:w="636" w:type="dxa"/>
            <w:noWrap w:val="0"/>
            <w:vAlign w:val="center"/>
          </w:tcPr>
          <w:p>
            <w:pPr>
              <w:jc w:val="center"/>
              <w:rPr>
                <w:color w:val="000000"/>
                <w:sz w:val="24"/>
                <w:szCs w:val="24"/>
              </w:rPr>
            </w:pPr>
            <w:r>
              <w:rPr>
                <w:rFonts w:hint="eastAsia"/>
                <w:color w:val="000000"/>
                <w:sz w:val="24"/>
                <w:szCs w:val="24"/>
              </w:rPr>
              <w:t>11</w:t>
            </w:r>
          </w:p>
        </w:tc>
        <w:tc>
          <w:tcPr>
            <w:tcW w:w="545" w:type="dxa"/>
            <w:noWrap w:val="0"/>
            <w:vAlign w:val="center"/>
          </w:tcPr>
          <w:p>
            <w:pPr>
              <w:jc w:val="center"/>
              <w:rPr>
                <w:color w:val="000000"/>
                <w:sz w:val="24"/>
                <w:szCs w:val="24"/>
              </w:rPr>
            </w:pPr>
            <w:r>
              <w:rPr>
                <w:rFonts w:hint="eastAsia"/>
                <w:color w:val="000000"/>
                <w:sz w:val="24"/>
                <w:szCs w:val="24"/>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67" w:type="dxa"/>
            <w:noWrap w:val="0"/>
            <w:vAlign w:val="center"/>
          </w:tcPr>
          <w:p>
            <w:pPr>
              <w:jc w:val="left"/>
              <w:rPr>
                <w:color w:val="000000"/>
                <w:sz w:val="24"/>
                <w:szCs w:val="24"/>
              </w:rPr>
            </w:pPr>
            <w:r>
              <w:rPr>
                <w:rFonts w:hint="eastAsia"/>
                <w:color w:val="000000"/>
                <w:sz w:val="24"/>
                <w:szCs w:val="24"/>
              </w:rPr>
              <w:t>1.1.3</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队伍建设</w:t>
            </w:r>
          </w:p>
        </w:tc>
        <w:tc>
          <w:tcPr>
            <w:tcW w:w="600" w:type="dxa"/>
            <w:noWrap w:val="0"/>
            <w:vAlign w:val="center"/>
          </w:tcPr>
          <w:p>
            <w:pPr>
              <w:jc w:val="center"/>
              <w:rPr>
                <w:color w:val="000000"/>
                <w:sz w:val="24"/>
                <w:szCs w:val="24"/>
              </w:rPr>
            </w:pPr>
            <w:r>
              <w:rPr>
                <w:rFonts w:hint="eastAsia"/>
                <w:color w:val="000000"/>
                <w:sz w:val="24"/>
                <w:szCs w:val="24"/>
              </w:rPr>
              <w:t>29</w:t>
            </w:r>
          </w:p>
        </w:tc>
        <w:tc>
          <w:tcPr>
            <w:tcW w:w="636" w:type="dxa"/>
            <w:noWrap w:val="0"/>
            <w:vAlign w:val="center"/>
          </w:tcPr>
          <w:p>
            <w:pPr>
              <w:jc w:val="center"/>
              <w:rPr>
                <w:color w:val="000000"/>
                <w:sz w:val="24"/>
                <w:szCs w:val="24"/>
              </w:rPr>
            </w:pPr>
            <w:r>
              <w:rPr>
                <w:rFonts w:hint="eastAsia"/>
                <w:color w:val="000000"/>
                <w:sz w:val="24"/>
                <w:szCs w:val="24"/>
              </w:rPr>
              <w:t>33</w:t>
            </w:r>
          </w:p>
        </w:tc>
        <w:tc>
          <w:tcPr>
            <w:tcW w:w="545" w:type="dxa"/>
            <w:noWrap w:val="0"/>
            <w:vAlign w:val="center"/>
          </w:tcPr>
          <w:p>
            <w:pPr>
              <w:jc w:val="center"/>
              <w:rPr>
                <w:color w:val="000000"/>
                <w:sz w:val="24"/>
                <w:szCs w:val="24"/>
              </w:rPr>
            </w:pPr>
            <w:r>
              <w:rPr>
                <w:rFonts w:hint="eastAsia"/>
                <w:color w:val="000000"/>
                <w:sz w:val="24"/>
                <w:szCs w:val="24"/>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博物馆管理人才、专业技能人才、研究人才、创新型人才的配备及培养情况</w:t>
            </w:r>
          </w:p>
        </w:tc>
        <w:tc>
          <w:tcPr>
            <w:tcW w:w="600" w:type="dxa"/>
            <w:noWrap w:val="0"/>
            <w:vAlign w:val="center"/>
          </w:tcPr>
          <w:p>
            <w:pPr>
              <w:jc w:val="center"/>
              <w:rPr>
                <w:color w:val="000000"/>
                <w:sz w:val="24"/>
                <w:szCs w:val="24"/>
              </w:rPr>
            </w:pPr>
            <w:r>
              <w:rPr>
                <w:rFonts w:hint="eastAsia"/>
                <w:color w:val="000000"/>
                <w:sz w:val="24"/>
                <w:szCs w:val="24"/>
              </w:rPr>
              <w:t>9</w:t>
            </w:r>
          </w:p>
        </w:tc>
        <w:tc>
          <w:tcPr>
            <w:tcW w:w="636" w:type="dxa"/>
            <w:noWrap w:val="0"/>
            <w:vAlign w:val="center"/>
          </w:tcPr>
          <w:p>
            <w:pPr>
              <w:jc w:val="center"/>
              <w:rPr>
                <w:color w:val="000000"/>
                <w:sz w:val="24"/>
                <w:szCs w:val="24"/>
              </w:rPr>
            </w:pPr>
            <w:r>
              <w:rPr>
                <w:rFonts w:hint="eastAsia"/>
                <w:color w:val="000000"/>
                <w:sz w:val="24"/>
                <w:szCs w:val="24"/>
              </w:rPr>
              <w:t>11</w:t>
            </w:r>
          </w:p>
        </w:tc>
        <w:tc>
          <w:tcPr>
            <w:tcW w:w="545" w:type="dxa"/>
            <w:noWrap w:val="0"/>
            <w:vAlign w:val="center"/>
          </w:tcPr>
          <w:p>
            <w:pPr>
              <w:jc w:val="center"/>
              <w:rPr>
                <w:color w:val="000000"/>
                <w:sz w:val="24"/>
                <w:szCs w:val="24"/>
              </w:rPr>
            </w:pPr>
            <w:r>
              <w:rPr>
                <w:rFonts w:hint="eastAsia"/>
                <w:color w:val="000000"/>
                <w:sz w:val="24"/>
                <w:szCs w:val="24"/>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高水平创新团队及拔尖人才培养情况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11</w:t>
            </w:r>
          </w:p>
        </w:tc>
        <w:tc>
          <w:tcPr>
            <w:tcW w:w="545" w:type="dxa"/>
            <w:noWrap w:val="0"/>
            <w:vAlign w:val="center"/>
          </w:tcPr>
          <w:p>
            <w:pPr>
              <w:jc w:val="center"/>
              <w:rPr>
                <w:color w:val="000000"/>
                <w:sz w:val="24"/>
                <w:szCs w:val="24"/>
              </w:rPr>
            </w:pPr>
            <w:r>
              <w:rPr>
                <w:rFonts w:hint="eastAsia"/>
                <w:color w:val="000000"/>
                <w:sz w:val="24"/>
                <w:szCs w:val="24"/>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博物馆根据不同岗位要求，开展分级分类培训，提升队伍整体素质能力情况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11</w:t>
            </w:r>
          </w:p>
        </w:tc>
        <w:tc>
          <w:tcPr>
            <w:tcW w:w="545" w:type="dxa"/>
            <w:noWrap w:val="0"/>
            <w:vAlign w:val="center"/>
          </w:tcPr>
          <w:p>
            <w:pPr>
              <w:jc w:val="center"/>
              <w:rPr>
                <w:color w:val="000000"/>
                <w:sz w:val="24"/>
                <w:szCs w:val="24"/>
              </w:rPr>
            </w:pPr>
            <w:r>
              <w:rPr>
                <w:rFonts w:hint="eastAsia"/>
                <w:color w:val="000000"/>
                <w:sz w:val="24"/>
                <w:szCs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定量评估指标（原始分100分）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召开理事会次数（基础分：1次/分）</w:t>
            </w:r>
          </w:p>
        </w:tc>
        <w:tc>
          <w:tcPr>
            <w:tcW w:w="600" w:type="dxa"/>
            <w:noWrap w:val="0"/>
            <w:vAlign w:val="center"/>
          </w:tcPr>
          <w:p>
            <w:pPr>
              <w:jc w:val="center"/>
              <w:rPr>
                <w:color w:val="000000"/>
                <w:sz w:val="24"/>
                <w:szCs w:val="24"/>
              </w:rPr>
            </w:pPr>
            <w:r>
              <w:rPr>
                <w:rFonts w:hint="eastAsia"/>
                <w:color w:val="000000"/>
                <w:sz w:val="24"/>
                <w:szCs w:val="24"/>
              </w:rPr>
              <w:t>25</w:t>
            </w:r>
          </w:p>
        </w:tc>
        <w:tc>
          <w:tcPr>
            <w:tcW w:w="636" w:type="dxa"/>
            <w:noWrap w:val="0"/>
            <w:vAlign w:val="center"/>
          </w:tcPr>
          <w:p>
            <w:pPr>
              <w:jc w:val="center"/>
              <w:rPr>
                <w:color w:val="000000"/>
                <w:sz w:val="24"/>
                <w:szCs w:val="24"/>
              </w:rPr>
            </w:pPr>
            <w:r>
              <w:rPr>
                <w:rFonts w:hint="eastAsia"/>
                <w:color w:val="000000"/>
                <w:sz w:val="24"/>
                <w:szCs w:val="24"/>
              </w:rPr>
              <w:t>25</w:t>
            </w:r>
          </w:p>
        </w:tc>
        <w:tc>
          <w:tcPr>
            <w:tcW w:w="545" w:type="dxa"/>
            <w:noWrap w:val="0"/>
            <w:vAlign w:val="center"/>
          </w:tcPr>
          <w:p>
            <w:pPr>
              <w:jc w:val="center"/>
              <w:rPr>
                <w:color w:val="000000"/>
                <w:sz w:val="24"/>
                <w:szCs w:val="24"/>
              </w:rPr>
            </w:pPr>
            <w:r>
              <w:rPr>
                <w:rFonts w:hint="eastAsia"/>
                <w:color w:val="000000"/>
                <w:sz w:val="24"/>
                <w:szCs w:val="24"/>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新增制度数量（基础分：1项/分）</w:t>
            </w:r>
          </w:p>
        </w:tc>
        <w:tc>
          <w:tcPr>
            <w:tcW w:w="600" w:type="dxa"/>
            <w:noWrap w:val="0"/>
            <w:vAlign w:val="center"/>
          </w:tcPr>
          <w:p>
            <w:pPr>
              <w:jc w:val="center"/>
              <w:rPr>
                <w:color w:val="000000"/>
                <w:sz w:val="24"/>
                <w:szCs w:val="24"/>
              </w:rPr>
            </w:pPr>
            <w:r>
              <w:rPr>
                <w:rFonts w:hint="eastAsia"/>
                <w:color w:val="000000"/>
                <w:sz w:val="24"/>
                <w:szCs w:val="24"/>
              </w:rPr>
              <w:t>25</w:t>
            </w:r>
          </w:p>
        </w:tc>
        <w:tc>
          <w:tcPr>
            <w:tcW w:w="636" w:type="dxa"/>
            <w:noWrap w:val="0"/>
            <w:vAlign w:val="center"/>
          </w:tcPr>
          <w:p>
            <w:pPr>
              <w:jc w:val="center"/>
              <w:rPr>
                <w:color w:val="000000"/>
                <w:sz w:val="24"/>
                <w:szCs w:val="24"/>
              </w:rPr>
            </w:pPr>
            <w:r>
              <w:rPr>
                <w:rFonts w:hint="eastAsia"/>
                <w:color w:val="000000"/>
                <w:sz w:val="24"/>
                <w:szCs w:val="24"/>
              </w:rPr>
              <w:t>25</w:t>
            </w:r>
          </w:p>
        </w:tc>
        <w:tc>
          <w:tcPr>
            <w:tcW w:w="545" w:type="dxa"/>
            <w:noWrap w:val="0"/>
            <w:vAlign w:val="center"/>
          </w:tcPr>
          <w:p>
            <w:pPr>
              <w:jc w:val="center"/>
              <w:rPr>
                <w:color w:val="000000"/>
                <w:sz w:val="24"/>
                <w:szCs w:val="24"/>
              </w:rPr>
            </w:pPr>
            <w:r>
              <w:rPr>
                <w:rFonts w:hint="eastAsia"/>
                <w:color w:val="000000"/>
                <w:sz w:val="24"/>
                <w:szCs w:val="24"/>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副高级职称、正高级职称人员总数（基础分：1人/分）</w:t>
            </w:r>
          </w:p>
        </w:tc>
        <w:tc>
          <w:tcPr>
            <w:tcW w:w="600" w:type="dxa"/>
            <w:noWrap w:val="0"/>
            <w:vAlign w:val="center"/>
          </w:tcPr>
          <w:p>
            <w:pPr>
              <w:jc w:val="center"/>
              <w:rPr>
                <w:color w:val="000000"/>
                <w:sz w:val="24"/>
                <w:szCs w:val="24"/>
              </w:rPr>
            </w:pPr>
            <w:r>
              <w:rPr>
                <w:rFonts w:hint="eastAsia"/>
                <w:color w:val="000000"/>
                <w:sz w:val="24"/>
                <w:szCs w:val="24"/>
              </w:rPr>
              <w:t>20</w:t>
            </w:r>
          </w:p>
        </w:tc>
        <w:tc>
          <w:tcPr>
            <w:tcW w:w="636" w:type="dxa"/>
            <w:noWrap w:val="0"/>
            <w:vAlign w:val="center"/>
          </w:tcPr>
          <w:p>
            <w:pPr>
              <w:jc w:val="center"/>
              <w:rPr>
                <w:color w:val="000000"/>
                <w:sz w:val="24"/>
                <w:szCs w:val="24"/>
              </w:rPr>
            </w:pPr>
            <w:r>
              <w:rPr>
                <w:rFonts w:hint="eastAsia"/>
                <w:color w:val="000000"/>
                <w:sz w:val="24"/>
                <w:szCs w:val="24"/>
              </w:rPr>
              <w:t>20</w:t>
            </w:r>
          </w:p>
        </w:tc>
        <w:tc>
          <w:tcPr>
            <w:tcW w:w="545" w:type="dxa"/>
            <w:noWrap w:val="0"/>
            <w:vAlign w:val="center"/>
          </w:tcPr>
          <w:p>
            <w:pPr>
              <w:jc w:val="center"/>
              <w:rPr>
                <w:color w:val="000000"/>
                <w:sz w:val="24"/>
                <w:szCs w:val="24"/>
              </w:rPr>
            </w:pPr>
            <w:r>
              <w:rPr>
                <w:rFonts w:hint="eastAsia"/>
                <w:color w:val="000000"/>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平均从业年限（基础分：1年/分）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出国（境）进修（培训）人员（基础分：1人/分）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国内进修（培训）人员（基础分：1人/分）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1.2</w:t>
            </w:r>
          </w:p>
        </w:tc>
        <w:tc>
          <w:tcPr>
            <w:tcW w:w="1230" w:type="dxa"/>
            <w:noWrap w:val="0"/>
            <w:vAlign w:val="center"/>
          </w:tcPr>
          <w:p>
            <w:pPr>
              <w:jc w:val="center"/>
              <w:rPr>
                <w:color w:val="000000"/>
                <w:sz w:val="24"/>
                <w:szCs w:val="24"/>
              </w:rPr>
            </w:pPr>
            <w:r>
              <w:rPr>
                <w:rFonts w:hint="eastAsia"/>
                <w:color w:val="000000"/>
                <w:sz w:val="24"/>
                <w:szCs w:val="24"/>
              </w:rPr>
              <w:t>二级指标</w:t>
            </w:r>
          </w:p>
        </w:tc>
        <w:tc>
          <w:tcPr>
            <w:tcW w:w="4644" w:type="dxa"/>
            <w:noWrap w:val="0"/>
            <w:vAlign w:val="center"/>
          </w:tcPr>
          <w:p>
            <w:pPr>
              <w:jc w:val="left"/>
              <w:rPr>
                <w:color w:val="000000"/>
                <w:sz w:val="24"/>
                <w:szCs w:val="24"/>
              </w:rPr>
            </w:pPr>
            <w:r>
              <w:rPr>
                <w:rFonts w:hint="eastAsia"/>
                <w:color w:val="000000"/>
                <w:sz w:val="24"/>
                <w:szCs w:val="24"/>
              </w:rPr>
              <w:t>藏品管理</w:t>
            </w:r>
          </w:p>
        </w:tc>
        <w:tc>
          <w:tcPr>
            <w:tcW w:w="1781" w:type="dxa"/>
            <w:gridSpan w:val="3"/>
            <w:noWrap w:val="0"/>
            <w:vAlign w:val="center"/>
          </w:tcPr>
          <w:p>
            <w:pPr>
              <w:jc w:val="center"/>
              <w:rPr>
                <w:color w:val="000000"/>
                <w:sz w:val="24"/>
                <w:szCs w:val="24"/>
              </w:rPr>
            </w:pPr>
            <w:r>
              <w:rPr>
                <w:rFonts w:hint="eastAsia"/>
                <w:color w:val="000000"/>
                <w:sz w:val="24"/>
                <w:szCs w:val="24"/>
              </w:rPr>
              <w:t>指标权重10%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定性评估指标（原始分100分）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1.2.1</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藏品征集</w:t>
            </w:r>
          </w:p>
        </w:tc>
        <w:tc>
          <w:tcPr>
            <w:tcW w:w="600" w:type="dxa"/>
            <w:noWrap w:val="0"/>
            <w:vAlign w:val="center"/>
          </w:tcPr>
          <w:p>
            <w:pPr>
              <w:jc w:val="center"/>
              <w:rPr>
                <w:color w:val="000000"/>
                <w:sz w:val="24"/>
                <w:szCs w:val="24"/>
              </w:rPr>
            </w:pPr>
            <w:r>
              <w:rPr>
                <w:rFonts w:hint="eastAsia"/>
                <w:color w:val="000000"/>
                <w:sz w:val="24"/>
                <w:szCs w:val="24"/>
              </w:rPr>
              <w:t>22</w:t>
            </w:r>
          </w:p>
        </w:tc>
        <w:tc>
          <w:tcPr>
            <w:tcW w:w="636" w:type="dxa"/>
            <w:noWrap w:val="0"/>
            <w:vAlign w:val="center"/>
          </w:tcPr>
          <w:p>
            <w:pPr>
              <w:jc w:val="center"/>
              <w:rPr>
                <w:color w:val="000000"/>
                <w:sz w:val="24"/>
                <w:szCs w:val="24"/>
              </w:rPr>
            </w:pPr>
            <w:r>
              <w:rPr>
                <w:rFonts w:hint="eastAsia"/>
                <w:color w:val="000000"/>
                <w:sz w:val="24"/>
                <w:szCs w:val="24"/>
              </w:rPr>
              <w:t>25</w:t>
            </w:r>
          </w:p>
        </w:tc>
        <w:tc>
          <w:tcPr>
            <w:tcW w:w="545" w:type="dxa"/>
            <w:noWrap w:val="0"/>
            <w:vAlign w:val="center"/>
          </w:tcPr>
          <w:p>
            <w:pPr>
              <w:jc w:val="center"/>
              <w:rPr>
                <w:color w:val="000000"/>
                <w:sz w:val="24"/>
                <w:szCs w:val="24"/>
              </w:rPr>
            </w:pPr>
            <w:r>
              <w:rPr>
                <w:rFonts w:hint="eastAsia"/>
                <w:color w:val="000000"/>
                <w:sz w:val="24"/>
                <w:szCs w:val="24"/>
              </w:rPr>
              <w:t>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博物馆藏品征集规划和年度计划制订、执行情况</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11</w:t>
            </w:r>
          </w:p>
        </w:tc>
        <w:tc>
          <w:tcPr>
            <w:tcW w:w="545" w:type="dxa"/>
            <w:noWrap w:val="0"/>
            <w:vAlign w:val="center"/>
          </w:tcPr>
          <w:p>
            <w:pPr>
              <w:jc w:val="center"/>
              <w:rPr>
                <w:color w:val="000000"/>
                <w:sz w:val="24"/>
                <w:szCs w:val="24"/>
              </w:rPr>
            </w:pPr>
            <w:r>
              <w:rPr>
                <w:rFonts w:hint="eastAsia"/>
                <w:color w:val="000000"/>
                <w:sz w:val="24"/>
                <w:szCs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博物馆新征集藏品对于完善收藏体系，满足展示、研究等方面的价值意义</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博物馆征藏党史、新中国史、改革开放史、社会主义发展史、中华民族发展史、经济社会发展变迁物证以及流失海外中国文物的情况</w:t>
            </w:r>
          </w:p>
        </w:tc>
        <w:tc>
          <w:tcPr>
            <w:tcW w:w="600" w:type="dxa"/>
            <w:noWrap w:val="0"/>
            <w:vAlign w:val="center"/>
          </w:tcPr>
          <w:p>
            <w:pPr>
              <w:jc w:val="center"/>
              <w:rPr>
                <w:color w:val="000000"/>
                <w:sz w:val="24"/>
                <w:szCs w:val="24"/>
              </w:rPr>
            </w:pPr>
            <w:r>
              <w:rPr>
                <w:rFonts w:hint="eastAsia"/>
                <w:color w:val="000000"/>
                <w:sz w:val="24"/>
                <w:szCs w:val="24"/>
              </w:rPr>
              <w:t>6</w:t>
            </w:r>
          </w:p>
        </w:tc>
        <w:tc>
          <w:tcPr>
            <w:tcW w:w="636" w:type="dxa"/>
            <w:noWrap w:val="0"/>
            <w:vAlign w:val="center"/>
          </w:tcPr>
          <w:p>
            <w:pPr>
              <w:jc w:val="center"/>
              <w:rPr>
                <w:color w:val="000000"/>
                <w:sz w:val="24"/>
                <w:szCs w:val="24"/>
              </w:rPr>
            </w:pPr>
            <w:r>
              <w:rPr>
                <w:rFonts w:hint="eastAsia"/>
                <w:color w:val="000000"/>
                <w:sz w:val="24"/>
                <w:szCs w:val="24"/>
              </w:rPr>
              <w:t>6</w:t>
            </w:r>
          </w:p>
        </w:tc>
        <w:tc>
          <w:tcPr>
            <w:tcW w:w="545" w:type="dxa"/>
            <w:noWrap w:val="0"/>
            <w:vAlign w:val="center"/>
          </w:tcPr>
          <w:p>
            <w:pPr>
              <w:jc w:val="center"/>
              <w:rPr>
                <w:color w:val="000000"/>
                <w:sz w:val="24"/>
                <w:szCs w:val="24"/>
              </w:rPr>
            </w:pPr>
            <w:r>
              <w:rPr>
                <w:rFonts w:hint="eastAsia"/>
                <w:color w:val="00000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1.2.2</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藏品登录</w:t>
            </w:r>
          </w:p>
        </w:tc>
        <w:tc>
          <w:tcPr>
            <w:tcW w:w="600" w:type="dxa"/>
            <w:noWrap w:val="0"/>
            <w:vAlign w:val="center"/>
          </w:tcPr>
          <w:p>
            <w:pPr>
              <w:jc w:val="center"/>
              <w:rPr>
                <w:color w:val="000000"/>
                <w:sz w:val="24"/>
                <w:szCs w:val="24"/>
              </w:rPr>
            </w:pPr>
            <w:r>
              <w:rPr>
                <w:rFonts w:hint="eastAsia"/>
                <w:color w:val="000000"/>
                <w:sz w:val="24"/>
                <w:szCs w:val="24"/>
              </w:rPr>
              <w:t>22</w:t>
            </w:r>
          </w:p>
        </w:tc>
        <w:tc>
          <w:tcPr>
            <w:tcW w:w="636" w:type="dxa"/>
            <w:noWrap w:val="0"/>
            <w:vAlign w:val="center"/>
          </w:tcPr>
          <w:p>
            <w:pPr>
              <w:jc w:val="center"/>
              <w:rPr>
                <w:color w:val="000000"/>
                <w:sz w:val="24"/>
                <w:szCs w:val="24"/>
              </w:rPr>
            </w:pPr>
            <w:r>
              <w:rPr>
                <w:rFonts w:hint="eastAsia"/>
                <w:color w:val="000000"/>
                <w:sz w:val="24"/>
                <w:szCs w:val="24"/>
              </w:rPr>
              <w:t>25</w:t>
            </w:r>
          </w:p>
        </w:tc>
        <w:tc>
          <w:tcPr>
            <w:tcW w:w="545" w:type="dxa"/>
            <w:noWrap w:val="0"/>
            <w:vAlign w:val="center"/>
          </w:tcPr>
          <w:p>
            <w:pPr>
              <w:jc w:val="center"/>
              <w:rPr>
                <w:color w:val="000000"/>
                <w:sz w:val="24"/>
                <w:szCs w:val="24"/>
              </w:rPr>
            </w:pPr>
            <w:r>
              <w:rPr>
                <w:rFonts w:hint="eastAsia"/>
                <w:color w:val="000000"/>
                <w:sz w:val="24"/>
                <w:szCs w:val="24"/>
              </w:rPr>
              <w:t>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博物馆新搜集藏品依法建立藏品账目及档案的情况</w:t>
            </w:r>
          </w:p>
        </w:tc>
        <w:tc>
          <w:tcPr>
            <w:tcW w:w="600" w:type="dxa"/>
            <w:noWrap w:val="0"/>
            <w:vAlign w:val="center"/>
          </w:tcPr>
          <w:p>
            <w:pPr>
              <w:jc w:val="center"/>
              <w:rPr>
                <w:color w:val="000000"/>
                <w:sz w:val="24"/>
                <w:szCs w:val="24"/>
              </w:rPr>
            </w:pPr>
            <w:r>
              <w:rPr>
                <w:rFonts w:hint="eastAsia"/>
                <w:color w:val="000000"/>
                <w:sz w:val="24"/>
                <w:szCs w:val="24"/>
              </w:rPr>
              <w:t>6</w:t>
            </w:r>
          </w:p>
        </w:tc>
        <w:tc>
          <w:tcPr>
            <w:tcW w:w="636" w:type="dxa"/>
            <w:noWrap w:val="0"/>
            <w:vAlign w:val="center"/>
          </w:tcPr>
          <w:p>
            <w:pPr>
              <w:jc w:val="center"/>
              <w:rPr>
                <w:color w:val="000000"/>
                <w:sz w:val="24"/>
                <w:szCs w:val="24"/>
              </w:rPr>
            </w:pPr>
            <w:r>
              <w:rPr>
                <w:rFonts w:hint="eastAsia"/>
                <w:color w:val="000000"/>
                <w:sz w:val="24"/>
                <w:szCs w:val="24"/>
              </w:rPr>
              <w:t>7</w:t>
            </w:r>
          </w:p>
        </w:tc>
        <w:tc>
          <w:tcPr>
            <w:tcW w:w="545" w:type="dxa"/>
            <w:noWrap w:val="0"/>
            <w:vAlign w:val="center"/>
          </w:tcPr>
          <w:p>
            <w:pPr>
              <w:jc w:val="center"/>
              <w:rPr>
                <w:color w:val="000000"/>
                <w:sz w:val="24"/>
                <w:szCs w:val="24"/>
              </w:rPr>
            </w:pPr>
            <w:r>
              <w:rPr>
                <w:rFonts w:hint="eastAsia"/>
                <w:color w:val="000000"/>
                <w:sz w:val="24"/>
                <w:szCs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单独设置文物档案，并区分文物等级的情况</w:t>
            </w:r>
          </w:p>
          <w:p>
            <w:pPr>
              <w:jc w:val="left"/>
              <w:rPr>
                <w:color w:val="000000"/>
                <w:sz w:val="24"/>
                <w:szCs w:val="24"/>
              </w:rPr>
            </w:pPr>
            <w:r>
              <w:rPr>
                <w:rFonts w:hint="eastAsia"/>
                <w:color w:val="000000"/>
                <w:sz w:val="24"/>
                <w:szCs w:val="24"/>
              </w:rPr>
              <w:t>（注：无文物类藏品的博物馆可参照评分）</w:t>
            </w:r>
          </w:p>
        </w:tc>
        <w:tc>
          <w:tcPr>
            <w:tcW w:w="600" w:type="dxa"/>
            <w:noWrap w:val="0"/>
            <w:vAlign w:val="center"/>
          </w:tcPr>
          <w:p>
            <w:pPr>
              <w:jc w:val="center"/>
              <w:rPr>
                <w:color w:val="000000"/>
                <w:sz w:val="24"/>
                <w:szCs w:val="24"/>
              </w:rPr>
            </w:pPr>
            <w:r>
              <w:rPr>
                <w:rFonts w:hint="eastAsia"/>
                <w:color w:val="000000"/>
                <w:sz w:val="24"/>
                <w:szCs w:val="24"/>
              </w:rPr>
              <w:t>6</w:t>
            </w:r>
          </w:p>
        </w:tc>
        <w:tc>
          <w:tcPr>
            <w:tcW w:w="636" w:type="dxa"/>
            <w:noWrap w:val="0"/>
            <w:vAlign w:val="center"/>
          </w:tcPr>
          <w:p>
            <w:pPr>
              <w:jc w:val="center"/>
              <w:rPr>
                <w:color w:val="000000"/>
                <w:sz w:val="24"/>
                <w:szCs w:val="24"/>
              </w:rPr>
            </w:pPr>
            <w:r>
              <w:rPr>
                <w:rFonts w:hint="eastAsia"/>
                <w:color w:val="000000"/>
                <w:sz w:val="24"/>
                <w:szCs w:val="24"/>
              </w:rPr>
              <w:t>7</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建立藏品数据库或藏品信息管理系统，健全藏品登录机制，采集登录藏品信息的情况</w:t>
            </w:r>
          </w:p>
        </w:tc>
        <w:tc>
          <w:tcPr>
            <w:tcW w:w="600" w:type="dxa"/>
            <w:noWrap w:val="0"/>
            <w:vAlign w:val="center"/>
          </w:tcPr>
          <w:p>
            <w:pPr>
              <w:jc w:val="center"/>
              <w:rPr>
                <w:color w:val="000000"/>
                <w:sz w:val="24"/>
                <w:szCs w:val="24"/>
              </w:rPr>
            </w:pPr>
            <w:r>
              <w:rPr>
                <w:rFonts w:hint="eastAsia"/>
                <w:color w:val="000000"/>
                <w:sz w:val="24"/>
                <w:szCs w:val="24"/>
              </w:rPr>
              <w:t>5</w:t>
            </w:r>
          </w:p>
        </w:tc>
        <w:tc>
          <w:tcPr>
            <w:tcW w:w="636" w:type="dxa"/>
            <w:noWrap w:val="0"/>
            <w:vAlign w:val="center"/>
          </w:tcPr>
          <w:p>
            <w:pPr>
              <w:jc w:val="center"/>
              <w:rPr>
                <w:color w:val="000000"/>
                <w:sz w:val="24"/>
                <w:szCs w:val="24"/>
              </w:rPr>
            </w:pPr>
            <w:r>
              <w:rPr>
                <w:rFonts w:hint="eastAsia"/>
                <w:color w:val="000000"/>
                <w:sz w:val="24"/>
                <w:szCs w:val="24"/>
              </w:rPr>
              <w:t>6</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文物信息在主管文物部门备案的情况</w:t>
            </w:r>
          </w:p>
          <w:p>
            <w:pPr>
              <w:jc w:val="left"/>
              <w:rPr>
                <w:color w:val="000000"/>
                <w:sz w:val="24"/>
                <w:szCs w:val="24"/>
              </w:rPr>
            </w:pPr>
            <w:r>
              <w:rPr>
                <w:rFonts w:hint="eastAsia"/>
                <w:color w:val="000000"/>
                <w:sz w:val="24"/>
                <w:szCs w:val="24"/>
              </w:rPr>
              <w:t>（注：无文物类藏品的博物馆可参照评分）</w:t>
            </w:r>
          </w:p>
        </w:tc>
        <w:tc>
          <w:tcPr>
            <w:tcW w:w="600" w:type="dxa"/>
            <w:noWrap w:val="0"/>
            <w:vAlign w:val="center"/>
          </w:tcPr>
          <w:p>
            <w:pPr>
              <w:jc w:val="center"/>
              <w:rPr>
                <w:color w:val="000000"/>
                <w:sz w:val="24"/>
                <w:szCs w:val="24"/>
              </w:rPr>
            </w:pPr>
            <w:r>
              <w:rPr>
                <w:rFonts w:hint="eastAsia"/>
                <w:color w:val="000000"/>
                <w:sz w:val="24"/>
                <w:szCs w:val="24"/>
              </w:rPr>
              <w:t>5</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1.2.3</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藏品保管</w:t>
            </w:r>
          </w:p>
        </w:tc>
        <w:tc>
          <w:tcPr>
            <w:tcW w:w="600" w:type="dxa"/>
            <w:noWrap w:val="0"/>
            <w:vAlign w:val="center"/>
          </w:tcPr>
          <w:p>
            <w:pPr>
              <w:jc w:val="center"/>
              <w:rPr>
                <w:color w:val="000000"/>
                <w:sz w:val="24"/>
                <w:szCs w:val="24"/>
              </w:rPr>
            </w:pPr>
            <w:r>
              <w:rPr>
                <w:rFonts w:hint="eastAsia"/>
                <w:color w:val="000000"/>
                <w:sz w:val="24"/>
                <w:szCs w:val="24"/>
              </w:rPr>
              <w:t>22</w:t>
            </w:r>
          </w:p>
        </w:tc>
        <w:tc>
          <w:tcPr>
            <w:tcW w:w="636" w:type="dxa"/>
            <w:noWrap w:val="0"/>
            <w:vAlign w:val="center"/>
          </w:tcPr>
          <w:p>
            <w:pPr>
              <w:jc w:val="center"/>
              <w:rPr>
                <w:color w:val="000000"/>
                <w:sz w:val="24"/>
                <w:szCs w:val="24"/>
              </w:rPr>
            </w:pPr>
            <w:r>
              <w:rPr>
                <w:rFonts w:hint="eastAsia"/>
                <w:color w:val="000000"/>
                <w:sz w:val="24"/>
                <w:szCs w:val="24"/>
              </w:rPr>
              <w:t>25</w:t>
            </w:r>
          </w:p>
        </w:tc>
        <w:tc>
          <w:tcPr>
            <w:tcW w:w="545" w:type="dxa"/>
            <w:noWrap w:val="0"/>
            <w:vAlign w:val="center"/>
          </w:tcPr>
          <w:p>
            <w:pPr>
              <w:jc w:val="center"/>
              <w:rPr>
                <w:color w:val="000000"/>
                <w:sz w:val="24"/>
                <w:szCs w:val="24"/>
              </w:rPr>
            </w:pPr>
            <w:r>
              <w:rPr>
                <w:rFonts w:hint="eastAsia"/>
                <w:color w:val="000000"/>
                <w:sz w:val="24"/>
                <w:szCs w:val="24"/>
              </w:rPr>
              <w:t>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藏品库房管理及藏品保护装具配备情况</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温度、湿度、光照等藏品保存、展示环境指标控制情况</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7</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藏品入库、上架、提用、运输等操作执行及工作记录情况</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1.2.4</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藏品保护</w:t>
            </w:r>
          </w:p>
        </w:tc>
        <w:tc>
          <w:tcPr>
            <w:tcW w:w="600" w:type="dxa"/>
            <w:noWrap w:val="0"/>
            <w:vAlign w:val="center"/>
          </w:tcPr>
          <w:p>
            <w:pPr>
              <w:jc w:val="center"/>
              <w:rPr>
                <w:color w:val="000000"/>
                <w:sz w:val="24"/>
                <w:szCs w:val="24"/>
              </w:rPr>
            </w:pPr>
            <w:r>
              <w:rPr>
                <w:rFonts w:hint="eastAsia"/>
                <w:color w:val="000000"/>
                <w:sz w:val="24"/>
                <w:szCs w:val="24"/>
              </w:rPr>
              <w:t>34</w:t>
            </w:r>
          </w:p>
        </w:tc>
        <w:tc>
          <w:tcPr>
            <w:tcW w:w="636" w:type="dxa"/>
            <w:noWrap w:val="0"/>
            <w:vAlign w:val="center"/>
          </w:tcPr>
          <w:p>
            <w:pPr>
              <w:jc w:val="center"/>
              <w:rPr>
                <w:color w:val="000000"/>
                <w:sz w:val="24"/>
                <w:szCs w:val="24"/>
              </w:rPr>
            </w:pPr>
            <w:r>
              <w:rPr>
                <w:rFonts w:hint="eastAsia"/>
                <w:color w:val="000000"/>
                <w:sz w:val="24"/>
                <w:szCs w:val="24"/>
              </w:rPr>
              <w:t>25</w:t>
            </w:r>
          </w:p>
        </w:tc>
        <w:tc>
          <w:tcPr>
            <w:tcW w:w="545" w:type="dxa"/>
            <w:noWrap w:val="0"/>
            <w:vAlign w:val="center"/>
          </w:tcPr>
          <w:p>
            <w:pPr>
              <w:jc w:val="center"/>
              <w:rPr>
                <w:color w:val="000000"/>
                <w:sz w:val="24"/>
                <w:szCs w:val="24"/>
              </w:rPr>
            </w:pPr>
            <w:r>
              <w:rPr>
                <w:rFonts w:hint="eastAsia"/>
                <w:color w:val="000000"/>
                <w:sz w:val="24"/>
                <w:szCs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开展藏品预防性保护，针对文物常见多发病害病理开展研究和防治情况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7</w:t>
            </w:r>
          </w:p>
        </w:tc>
        <w:tc>
          <w:tcPr>
            <w:tcW w:w="545" w:type="dxa"/>
            <w:noWrap w:val="0"/>
            <w:vAlign w:val="center"/>
          </w:tcPr>
          <w:p>
            <w:pPr>
              <w:jc w:val="center"/>
              <w:rPr>
                <w:color w:val="000000"/>
                <w:sz w:val="24"/>
                <w:szCs w:val="24"/>
              </w:rPr>
            </w:pPr>
            <w:r>
              <w:rPr>
                <w:rFonts w:hint="eastAsia"/>
                <w:color w:val="000000"/>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针对珍贵濒危文物、材质脆弱文物、文物保护建筑的保护修复情况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7</w:t>
            </w:r>
          </w:p>
        </w:tc>
        <w:tc>
          <w:tcPr>
            <w:tcW w:w="545" w:type="dxa"/>
            <w:noWrap w:val="0"/>
            <w:vAlign w:val="center"/>
          </w:tcPr>
          <w:p>
            <w:pPr>
              <w:jc w:val="center"/>
              <w:rPr>
                <w:color w:val="000000"/>
                <w:sz w:val="24"/>
                <w:szCs w:val="24"/>
              </w:rPr>
            </w:pPr>
            <w:r>
              <w:rPr>
                <w:rFonts w:hint="eastAsia"/>
                <w:color w:val="000000"/>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藏品养护工作情况</w:t>
            </w:r>
          </w:p>
        </w:tc>
        <w:tc>
          <w:tcPr>
            <w:tcW w:w="600" w:type="dxa"/>
            <w:noWrap w:val="0"/>
            <w:vAlign w:val="center"/>
          </w:tcPr>
          <w:p>
            <w:pPr>
              <w:jc w:val="center"/>
              <w:rPr>
                <w:color w:val="000000"/>
                <w:sz w:val="24"/>
                <w:szCs w:val="24"/>
              </w:rPr>
            </w:pPr>
            <w:r>
              <w:rPr>
                <w:rFonts w:hint="eastAsia"/>
                <w:color w:val="000000"/>
                <w:sz w:val="24"/>
                <w:szCs w:val="24"/>
              </w:rPr>
              <w:t>14</w:t>
            </w:r>
          </w:p>
        </w:tc>
        <w:tc>
          <w:tcPr>
            <w:tcW w:w="636" w:type="dxa"/>
            <w:noWrap w:val="0"/>
            <w:vAlign w:val="center"/>
          </w:tcPr>
          <w:p>
            <w:pPr>
              <w:jc w:val="center"/>
              <w:rPr>
                <w:color w:val="000000"/>
                <w:sz w:val="24"/>
                <w:szCs w:val="24"/>
              </w:rPr>
            </w:pPr>
            <w:r>
              <w:rPr>
                <w:rFonts w:hint="eastAsia"/>
                <w:color w:val="000000"/>
                <w:sz w:val="24"/>
                <w:szCs w:val="24"/>
              </w:rPr>
              <w:t>11</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定量评估指标（原始分100分）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年度新增藏品数（基础分：1件（套）/分）</w:t>
            </w:r>
          </w:p>
        </w:tc>
        <w:tc>
          <w:tcPr>
            <w:tcW w:w="600" w:type="dxa"/>
            <w:noWrap w:val="0"/>
            <w:vAlign w:val="center"/>
          </w:tcPr>
          <w:p>
            <w:pPr>
              <w:jc w:val="center"/>
              <w:rPr>
                <w:color w:val="000000"/>
                <w:sz w:val="24"/>
                <w:szCs w:val="24"/>
              </w:rPr>
            </w:pPr>
            <w:r>
              <w:rPr>
                <w:rFonts w:hint="eastAsia"/>
                <w:color w:val="000000"/>
                <w:sz w:val="24"/>
                <w:szCs w:val="24"/>
              </w:rPr>
              <w:t>20</w:t>
            </w:r>
          </w:p>
        </w:tc>
        <w:tc>
          <w:tcPr>
            <w:tcW w:w="636" w:type="dxa"/>
            <w:noWrap w:val="0"/>
            <w:vAlign w:val="center"/>
          </w:tcPr>
          <w:p>
            <w:pPr>
              <w:jc w:val="center"/>
              <w:rPr>
                <w:color w:val="000000"/>
                <w:sz w:val="24"/>
                <w:szCs w:val="24"/>
              </w:rPr>
            </w:pPr>
            <w:r>
              <w:rPr>
                <w:rFonts w:hint="eastAsia"/>
                <w:color w:val="000000"/>
                <w:sz w:val="24"/>
                <w:szCs w:val="24"/>
              </w:rPr>
              <w:t>20</w:t>
            </w:r>
          </w:p>
        </w:tc>
        <w:tc>
          <w:tcPr>
            <w:tcW w:w="545" w:type="dxa"/>
            <w:noWrap w:val="0"/>
            <w:vAlign w:val="center"/>
          </w:tcPr>
          <w:p>
            <w:pPr>
              <w:jc w:val="center"/>
              <w:rPr>
                <w:color w:val="000000"/>
                <w:sz w:val="24"/>
                <w:szCs w:val="24"/>
              </w:rPr>
            </w:pPr>
            <w:r>
              <w:rPr>
                <w:rFonts w:hint="eastAsia"/>
                <w:color w:val="000000"/>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新增备案登录藏品数量（基础分：100件（套）/分）</w:t>
            </w:r>
          </w:p>
        </w:tc>
        <w:tc>
          <w:tcPr>
            <w:tcW w:w="600" w:type="dxa"/>
            <w:noWrap w:val="0"/>
            <w:vAlign w:val="center"/>
          </w:tcPr>
          <w:p>
            <w:pPr>
              <w:jc w:val="center"/>
              <w:rPr>
                <w:color w:val="000000"/>
                <w:sz w:val="24"/>
                <w:szCs w:val="24"/>
              </w:rPr>
            </w:pPr>
            <w:r>
              <w:rPr>
                <w:rFonts w:hint="eastAsia"/>
                <w:color w:val="000000"/>
                <w:sz w:val="24"/>
                <w:szCs w:val="24"/>
              </w:rPr>
              <w:t>15</w:t>
            </w:r>
          </w:p>
        </w:tc>
        <w:tc>
          <w:tcPr>
            <w:tcW w:w="636" w:type="dxa"/>
            <w:noWrap w:val="0"/>
            <w:vAlign w:val="center"/>
          </w:tcPr>
          <w:p>
            <w:pPr>
              <w:jc w:val="center"/>
              <w:rPr>
                <w:color w:val="000000"/>
                <w:sz w:val="24"/>
                <w:szCs w:val="24"/>
              </w:rPr>
            </w:pPr>
            <w:r>
              <w:rPr>
                <w:rFonts w:hint="eastAsia"/>
                <w:color w:val="000000"/>
                <w:sz w:val="24"/>
                <w:szCs w:val="24"/>
              </w:rPr>
              <w:t>15</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修复文物数（基础分：1件（套）/分）</w:t>
            </w:r>
          </w:p>
        </w:tc>
        <w:tc>
          <w:tcPr>
            <w:tcW w:w="600" w:type="dxa"/>
            <w:noWrap w:val="0"/>
            <w:vAlign w:val="center"/>
          </w:tcPr>
          <w:p>
            <w:pPr>
              <w:jc w:val="center"/>
              <w:rPr>
                <w:color w:val="000000"/>
                <w:sz w:val="24"/>
                <w:szCs w:val="24"/>
              </w:rPr>
            </w:pPr>
            <w:r>
              <w:rPr>
                <w:rFonts w:hint="eastAsia"/>
                <w:color w:val="000000"/>
                <w:sz w:val="24"/>
                <w:szCs w:val="24"/>
              </w:rPr>
              <w:t>15</w:t>
            </w:r>
          </w:p>
        </w:tc>
        <w:tc>
          <w:tcPr>
            <w:tcW w:w="636" w:type="dxa"/>
            <w:noWrap w:val="0"/>
            <w:vAlign w:val="center"/>
          </w:tcPr>
          <w:p>
            <w:pPr>
              <w:jc w:val="center"/>
              <w:rPr>
                <w:color w:val="000000"/>
                <w:sz w:val="24"/>
                <w:szCs w:val="24"/>
              </w:rPr>
            </w:pPr>
            <w:r>
              <w:rPr>
                <w:rFonts w:hint="eastAsia"/>
                <w:color w:val="000000"/>
                <w:sz w:val="24"/>
                <w:szCs w:val="24"/>
              </w:rPr>
              <w:t>15</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修复本馆文物数（基础分：1件（套）/分）</w:t>
            </w:r>
          </w:p>
        </w:tc>
        <w:tc>
          <w:tcPr>
            <w:tcW w:w="600" w:type="dxa"/>
            <w:noWrap w:val="0"/>
            <w:vAlign w:val="center"/>
          </w:tcPr>
          <w:p>
            <w:pPr>
              <w:jc w:val="center"/>
              <w:rPr>
                <w:color w:val="000000"/>
                <w:sz w:val="24"/>
                <w:szCs w:val="24"/>
              </w:rPr>
            </w:pPr>
            <w:r>
              <w:rPr>
                <w:rFonts w:hint="eastAsia"/>
                <w:color w:val="000000"/>
                <w:sz w:val="24"/>
                <w:szCs w:val="24"/>
              </w:rPr>
              <w:t>15</w:t>
            </w:r>
          </w:p>
        </w:tc>
        <w:tc>
          <w:tcPr>
            <w:tcW w:w="636" w:type="dxa"/>
            <w:noWrap w:val="0"/>
            <w:vAlign w:val="center"/>
          </w:tcPr>
          <w:p>
            <w:pPr>
              <w:jc w:val="center"/>
              <w:rPr>
                <w:color w:val="000000"/>
                <w:sz w:val="24"/>
                <w:szCs w:val="24"/>
              </w:rPr>
            </w:pPr>
            <w:r>
              <w:rPr>
                <w:rFonts w:hint="eastAsia"/>
                <w:color w:val="000000"/>
                <w:sz w:val="24"/>
                <w:szCs w:val="24"/>
              </w:rPr>
              <w:t>15</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采集藏品三维影像数据量（基础分：100件（套）/分）</w:t>
            </w:r>
          </w:p>
        </w:tc>
        <w:tc>
          <w:tcPr>
            <w:tcW w:w="600" w:type="dxa"/>
            <w:noWrap w:val="0"/>
            <w:vAlign w:val="center"/>
          </w:tcPr>
          <w:p>
            <w:pPr>
              <w:jc w:val="center"/>
              <w:rPr>
                <w:color w:val="000000"/>
                <w:sz w:val="24"/>
                <w:szCs w:val="24"/>
              </w:rPr>
            </w:pPr>
            <w:r>
              <w:rPr>
                <w:rFonts w:hint="eastAsia"/>
                <w:color w:val="000000"/>
                <w:sz w:val="24"/>
                <w:szCs w:val="24"/>
              </w:rPr>
              <w:t>15</w:t>
            </w:r>
          </w:p>
        </w:tc>
        <w:tc>
          <w:tcPr>
            <w:tcW w:w="636" w:type="dxa"/>
            <w:noWrap w:val="0"/>
            <w:vAlign w:val="center"/>
          </w:tcPr>
          <w:p>
            <w:pPr>
              <w:jc w:val="center"/>
              <w:rPr>
                <w:color w:val="000000"/>
                <w:sz w:val="24"/>
                <w:szCs w:val="24"/>
              </w:rPr>
            </w:pPr>
            <w:r>
              <w:rPr>
                <w:rFonts w:hint="eastAsia"/>
                <w:color w:val="000000"/>
                <w:sz w:val="24"/>
                <w:szCs w:val="24"/>
              </w:rPr>
              <w:t>15</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库房面积（基础分：100平方米/分）</w:t>
            </w:r>
          </w:p>
        </w:tc>
        <w:tc>
          <w:tcPr>
            <w:tcW w:w="600" w:type="dxa"/>
            <w:noWrap w:val="0"/>
            <w:vAlign w:val="center"/>
          </w:tcPr>
          <w:p>
            <w:pPr>
              <w:jc w:val="center"/>
              <w:rPr>
                <w:color w:val="000000"/>
                <w:sz w:val="24"/>
                <w:szCs w:val="24"/>
              </w:rPr>
            </w:pPr>
            <w:r>
              <w:rPr>
                <w:rFonts w:hint="eastAsia"/>
                <w:color w:val="000000"/>
                <w:sz w:val="24"/>
                <w:szCs w:val="24"/>
              </w:rPr>
              <w:t>20</w:t>
            </w:r>
          </w:p>
        </w:tc>
        <w:tc>
          <w:tcPr>
            <w:tcW w:w="636" w:type="dxa"/>
            <w:noWrap w:val="0"/>
            <w:vAlign w:val="center"/>
          </w:tcPr>
          <w:p>
            <w:pPr>
              <w:jc w:val="center"/>
              <w:rPr>
                <w:color w:val="000000"/>
                <w:sz w:val="24"/>
                <w:szCs w:val="24"/>
              </w:rPr>
            </w:pPr>
            <w:r>
              <w:rPr>
                <w:rFonts w:hint="eastAsia"/>
                <w:color w:val="000000"/>
                <w:sz w:val="24"/>
                <w:szCs w:val="24"/>
              </w:rPr>
              <w:t>20</w:t>
            </w:r>
          </w:p>
        </w:tc>
        <w:tc>
          <w:tcPr>
            <w:tcW w:w="545" w:type="dxa"/>
            <w:noWrap w:val="0"/>
            <w:vAlign w:val="center"/>
          </w:tcPr>
          <w:p>
            <w:pPr>
              <w:jc w:val="center"/>
              <w:rPr>
                <w:color w:val="000000"/>
                <w:sz w:val="24"/>
                <w:szCs w:val="24"/>
              </w:rPr>
            </w:pPr>
            <w:r>
              <w:rPr>
                <w:rFonts w:hint="eastAsia"/>
                <w:color w:val="000000"/>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1.3</w:t>
            </w:r>
          </w:p>
        </w:tc>
        <w:tc>
          <w:tcPr>
            <w:tcW w:w="1230" w:type="dxa"/>
            <w:noWrap w:val="0"/>
            <w:vAlign w:val="center"/>
          </w:tcPr>
          <w:p>
            <w:pPr>
              <w:jc w:val="center"/>
              <w:rPr>
                <w:color w:val="000000"/>
                <w:sz w:val="24"/>
                <w:szCs w:val="24"/>
              </w:rPr>
            </w:pPr>
            <w:r>
              <w:rPr>
                <w:rFonts w:hint="eastAsia"/>
                <w:color w:val="000000"/>
                <w:sz w:val="24"/>
                <w:szCs w:val="24"/>
              </w:rPr>
              <w:t>二级指标</w:t>
            </w:r>
          </w:p>
        </w:tc>
        <w:tc>
          <w:tcPr>
            <w:tcW w:w="4644" w:type="dxa"/>
            <w:noWrap w:val="0"/>
            <w:vAlign w:val="center"/>
          </w:tcPr>
          <w:p>
            <w:pPr>
              <w:jc w:val="left"/>
              <w:rPr>
                <w:color w:val="000000"/>
                <w:sz w:val="24"/>
                <w:szCs w:val="24"/>
              </w:rPr>
            </w:pPr>
            <w:r>
              <w:rPr>
                <w:rFonts w:hint="eastAsia"/>
                <w:color w:val="000000"/>
                <w:sz w:val="24"/>
                <w:szCs w:val="24"/>
              </w:rPr>
              <w:t>开放管理</w:t>
            </w:r>
          </w:p>
        </w:tc>
        <w:tc>
          <w:tcPr>
            <w:tcW w:w="1781" w:type="dxa"/>
            <w:gridSpan w:val="3"/>
            <w:noWrap w:val="0"/>
            <w:vAlign w:val="center"/>
          </w:tcPr>
          <w:p>
            <w:pPr>
              <w:jc w:val="center"/>
              <w:rPr>
                <w:color w:val="000000"/>
                <w:sz w:val="24"/>
                <w:szCs w:val="24"/>
              </w:rPr>
            </w:pPr>
            <w:r>
              <w:rPr>
                <w:rFonts w:hint="eastAsia"/>
                <w:color w:val="000000"/>
                <w:sz w:val="24"/>
                <w:szCs w:val="24"/>
              </w:rPr>
              <w:t>指标权重5%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定性评估指标（原始分100分）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1.3.1</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信息公开</w:t>
            </w:r>
          </w:p>
        </w:tc>
        <w:tc>
          <w:tcPr>
            <w:tcW w:w="600" w:type="dxa"/>
            <w:noWrap w:val="0"/>
            <w:vAlign w:val="center"/>
          </w:tcPr>
          <w:p>
            <w:pPr>
              <w:jc w:val="center"/>
              <w:rPr>
                <w:color w:val="000000"/>
                <w:sz w:val="24"/>
                <w:szCs w:val="24"/>
              </w:rPr>
            </w:pPr>
            <w:r>
              <w:rPr>
                <w:rFonts w:hint="eastAsia"/>
                <w:color w:val="000000"/>
                <w:sz w:val="24"/>
                <w:szCs w:val="24"/>
              </w:rPr>
              <w:t>50</w:t>
            </w:r>
          </w:p>
        </w:tc>
        <w:tc>
          <w:tcPr>
            <w:tcW w:w="636" w:type="dxa"/>
            <w:noWrap w:val="0"/>
            <w:vAlign w:val="center"/>
          </w:tcPr>
          <w:p>
            <w:pPr>
              <w:jc w:val="center"/>
              <w:rPr>
                <w:color w:val="000000"/>
                <w:sz w:val="24"/>
                <w:szCs w:val="24"/>
              </w:rPr>
            </w:pPr>
            <w:r>
              <w:rPr>
                <w:rFonts w:hint="eastAsia"/>
                <w:color w:val="000000"/>
                <w:sz w:val="24"/>
                <w:szCs w:val="24"/>
              </w:rPr>
              <w:t>50</w:t>
            </w:r>
          </w:p>
        </w:tc>
        <w:tc>
          <w:tcPr>
            <w:tcW w:w="545" w:type="dxa"/>
            <w:noWrap w:val="0"/>
            <w:vAlign w:val="center"/>
          </w:tcPr>
          <w:p>
            <w:pPr>
              <w:jc w:val="center"/>
              <w:rPr>
                <w:color w:val="000000"/>
                <w:sz w:val="24"/>
                <w:szCs w:val="24"/>
              </w:rPr>
            </w:pPr>
            <w:r>
              <w:rPr>
                <w:rFonts w:hint="eastAsia"/>
                <w:color w:val="000000"/>
                <w:sz w:val="24"/>
                <w:szCs w:val="24"/>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近三年博物馆年报编制、发布情况</w:t>
            </w:r>
          </w:p>
        </w:tc>
        <w:tc>
          <w:tcPr>
            <w:tcW w:w="600" w:type="dxa"/>
            <w:noWrap w:val="0"/>
            <w:vAlign w:val="center"/>
          </w:tcPr>
          <w:p>
            <w:pPr>
              <w:jc w:val="center"/>
              <w:rPr>
                <w:color w:val="000000"/>
                <w:sz w:val="24"/>
                <w:szCs w:val="24"/>
              </w:rPr>
            </w:pPr>
            <w:r>
              <w:rPr>
                <w:rFonts w:hint="eastAsia"/>
                <w:color w:val="000000"/>
                <w:sz w:val="24"/>
                <w:szCs w:val="24"/>
              </w:rPr>
              <w:t>16</w:t>
            </w:r>
          </w:p>
        </w:tc>
        <w:tc>
          <w:tcPr>
            <w:tcW w:w="636" w:type="dxa"/>
            <w:noWrap w:val="0"/>
            <w:vAlign w:val="center"/>
          </w:tcPr>
          <w:p>
            <w:pPr>
              <w:jc w:val="center"/>
              <w:rPr>
                <w:color w:val="000000"/>
                <w:sz w:val="24"/>
                <w:szCs w:val="24"/>
              </w:rPr>
            </w:pPr>
            <w:r>
              <w:rPr>
                <w:rFonts w:hint="eastAsia"/>
                <w:color w:val="000000"/>
                <w:sz w:val="24"/>
                <w:szCs w:val="24"/>
              </w:rPr>
              <w:t>20</w:t>
            </w:r>
          </w:p>
        </w:tc>
        <w:tc>
          <w:tcPr>
            <w:tcW w:w="545" w:type="dxa"/>
            <w:noWrap w:val="0"/>
            <w:vAlign w:val="center"/>
          </w:tcPr>
          <w:p>
            <w:pPr>
              <w:jc w:val="center"/>
              <w:rPr>
                <w:color w:val="000000"/>
                <w:sz w:val="24"/>
                <w:szCs w:val="24"/>
              </w:rPr>
            </w:pPr>
            <w:r>
              <w:rPr>
                <w:rFonts w:hint="eastAsia"/>
                <w:color w:val="000000"/>
                <w:sz w:val="24"/>
                <w:szCs w:val="24"/>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博物馆向文物主管部门报送年报信息情况</w:t>
            </w:r>
          </w:p>
        </w:tc>
        <w:tc>
          <w:tcPr>
            <w:tcW w:w="600" w:type="dxa"/>
            <w:noWrap w:val="0"/>
            <w:vAlign w:val="center"/>
          </w:tcPr>
          <w:p>
            <w:pPr>
              <w:jc w:val="center"/>
              <w:rPr>
                <w:color w:val="000000"/>
                <w:sz w:val="24"/>
                <w:szCs w:val="24"/>
              </w:rPr>
            </w:pPr>
            <w:r>
              <w:rPr>
                <w:rFonts w:hint="eastAsia"/>
                <w:color w:val="000000"/>
                <w:sz w:val="24"/>
                <w:szCs w:val="24"/>
              </w:rPr>
              <w:t>17</w:t>
            </w:r>
          </w:p>
        </w:tc>
        <w:tc>
          <w:tcPr>
            <w:tcW w:w="636" w:type="dxa"/>
            <w:noWrap w:val="0"/>
            <w:vAlign w:val="center"/>
          </w:tcPr>
          <w:p>
            <w:pPr>
              <w:jc w:val="center"/>
              <w:rPr>
                <w:color w:val="000000"/>
                <w:sz w:val="24"/>
                <w:szCs w:val="24"/>
              </w:rPr>
            </w:pPr>
            <w:r>
              <w:rPr>
                <w:rFonts w:hint="eastAsia"/>
                <w:color w:val="000000"/>
                <w:sz w:val="24"/>
                <w:szCs w:val="24"/>
              </w:rPr>
              <w:t>15</w:t>
            </w:r>
          </w:p>
        </w:tc>
        <w:tc>
          <w:tcPr>
            <w:tcW w:w="545" w:type="dxa"/>
            <w:noWrap w:val="0"/>
            <w:vAlign w:val="center"/>
          </w:tcPr>
          <w:p>
            <w:pPr>
              <w:jc w:val="center"/>
              <w:rPr>
                <w:color w:val="000000"/>
                <w:sz w:val="24"/>
                <w:szCs w:val="24"/>
              </w:rPr>
            </w:pPr>
            <w:r>
              <w:rPr>
                <w:rFonts w:hint="eastAsia"/>
                <w:color w:val="00000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通过博物馆网站等媒体平台，面向社会公示本馆管理、运行和公共文化服务工作情况</w:t>
            </w:r>
          </w:p>
        </w:tc>
        <w:tc>
          <w:tcPr>
            <w:tcW w:w="600" w:type="dxa"/>
            <w:noWrap w:val="0"/>
            <w:vAlign w:val="center"/>
          </w:tcPr>
          <w:p>
            <w:pPr>
              <w:jc w:val="center"/>
              <w:rPr>
                <w:color w:val="000000"/>
                <w:sz w:val="24"/>
                <w:szCs w:val="24"/>
              </w:rPr>
            </w:pPr>
            <w:r>
              <w:rPr>
                <w:rFonts w:hint="eastAsia"/>
                <w:color w:val="000000"/>
                <w:sz w:val="24"/>
                <w:szCs w:val="24"/>
              </w:rPr>
              <w:t>17</w:t>
            </w:r>
          </w:p>
        </w:tc>
        <w:tc>
          <w:tcPr>
            <w:tcW w:w="636" w:type="dxa"/>
            <w:noWrap w:val="0"/>
            <w:vAlign w:val="center"/>
          </w:tcPr>
          <w:p>
            <w:pPr>
              <w:jc w:val="center"/>
              <w:rPr>
                <w:color w:val="000000"/>
                <w:sz w:val="24"/>
                <w:szCs w:val="24"/>
              </w:rPr>
            </w:pPr>
            <w:r>
              <w:rPr>
                <w:rFonts w:hint="eastAsia"/>
                <w:color w:val="000000"/>
                <w:sz w:val="24"/>
                <w:szCs w:val="24"/>
              </w:rPr>
              <w:t>15</w:t>
            </w:r>
          </w:p>
        </w:tc>
        <w:tc>
          <w:tcPr>
            <w:tcW w:w="545" w:type="dxa"/>
            <w:noWrap w:val="0"/>
            <w:vAlign w:val="center"/>
          </w:tcPr>
          <w:p>
            <w:pPr>
              <w:jc w:val="center"/>
              <w:rPr>
                <w:color w:val="000000"/>
                <w:sz w:val="24"/>
                <w:szCs w:val="24"/>
              </w:rPr>
            </w:pPr>
            <w:r>
              <w:rPr>
                <w:rFonts w:hint="eastAsia"/>
                <w:color w:val="00000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1.3.2</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参观服务</w:t>
            </w:r>
          </w:p>
        </w:tc>
        <w:tc>
          <w:tcPr>
            <w:tcW w:w="600" w:type="dxa"/>
            <w:noWrap w:val="0"/>
            <w:vAlign w:val="center"/>
          </w:tcPr>
          <w:p>
            <w:pPr>
              <w:jc w:val="center"/>
              <w:rPr>
                <w:color w:val="000000"/>
                <w:sz w:val="24"/>
                <w:szCs w:val="24"/>
              </w:rPr>
            </w:pPr>
            <w:r>
              <w:rPr>
                <w:rFonts w:hint="eastAsia"/>
                <w:color w:val="000000"/>
                <w:sz w:val="24"/>
                <w:szCs w:val="24"/>
              </w:rPr>
              <w:t>50</w:t>
            </w:r>
          </w:p>
        </w:tc>
        <w:tc>
          <w:tcPr>
            <w:tcW w:w="636" w:type="dxa"/>
            <w:noWrap w:val="0"/>
            <w:vAlign w:val="center"/>
          </w:tcPr>
          <w:p>
            <w:pPr>
              <w:jc w:val="center"/>
              <w:rPr>
                <w:color w:val="000000"/>
                <w:sz w:val="24"/>
                <w:szCs w:val="24"/>
              </w:rPr>
            </w:pPr>
            <w:r>
              <w:rPr>
                <w:rFonts w:hint="eastAsia"/>
                <w:color w:val="000000"/>
                <w:sz w:val="24"/>
                <w:szCs w:val="24"/>
              </w:rPr>
              <w:t>50</w:t>
            </w:r>
          </w:p>
        </w:tc>
        <w:tc>
          <w:tcPr>
            <w:tcW w:w="545" w:type="dxa"/>
            <w:noWrap w:val="0"/>
            <w:vAlign w:val="center"/>
          </w:tcPr>
          <w:p>
            <w:pPr>
              <w:jc w:val="center"/>
              <w:rPr>
                <w:color w:val="000000"/>
                <w:sz w:val="24"/>
                <w:szCs w:val="24"/>
              </w:rPr>
            </w:pPr>
            <w:r>
              <w:rPr>
                <w:rFonts w:hint="eastAsia"/>
                <w:color w:val="000000"/>
                <w:sz w:val="24"/>
                <w:szCs w:val="24"/>
              </w:rPr>
              <w:t>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博物馆全年向社会开放情况</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12</w:t>
            </w:r>
          </w:p>
        </w:tc>
        <w:tc>
          <w:tcPr>
            <w:tcW w:w="545" w:type="dxa"/>
            <w:noWrap w:val="0"/>
            <w:vAlign w:val="center"/>
          </w:tcPr>
          <w:p>
            <w:pPr>
              <w:jc w:val="center"/>
              <w:rPr>
                <w:color w:val="000000"/>
                <w:sz w:val="24"/>
                <w:szCs w:val="24"/>
              </w:rPr>
            </w:pPr>
            <w:r>
              <w:rPr>
                <w:rFonts w:hint="eastAsia"/>
                <w:color w:val="000000"/>
                <w:sz w:val="24"/>
                <w:szCs w:val="24"/>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博物馆执行免费开放政策或对特殊人群免费、优惠开放情况</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9</w:t>
            </w:r>
          </w:p>
        </w:tc>
        <w:tc>
          <w:tcPr>
            <w:tcW w:w="545" w:type="dxa"/>
            <w:noWrap w:val="0"/>
            <w:vAlign w:val="center"/>
          </w:tcPr>
          <w:p>
            <w:pPr>
              <w:jc w:val="center"/>
              <w:rPr>
                <w:color w:val="000000"/>
                <w:sz w:val="24"/>
                <w:szCs w:val="24"/>
              </w:rPr>
            </w:pPr>
            <w:r>
              <w:rPr>
                <w:rFonts w:hint="eastAsia"/>
                <w:color w:val="000000"/>
                <w:sz w:val="24"/>
                <w:szCs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新增或更新的观众休息设施、卫生设施、文创产品销售服务设施、餐饮服务设施以及老年人、残疾人、婴幼儿等特殊人群服务设施配备情况</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9</w:t>
            </w:r>
          </w:p>
        </w:tc>
        <w:tc>
          <w:tcPr>
            <w:tcW w:w="545" w:type="dxa"/>
            <w:noWrap w:val="0"/>
            <w:vAlign w:val="center"/>
          </w:tcPr>
          <w:p>
            <w:pPr>
              <w:jc w:val="center"/>
              <w:rPr>
                <w:color w:val="000000"/>
                <w:sz w:val="24"/>
                <w:szCs w:val="24"/>
              </w:rPr>
            </w:pPr>
            <w:r>
              <w:rPr>
                <w:rFonts w:hint="eastAsia"/>
                <w:color w:val="000000"/>
                <w:sz w:val="24"/>
                <w:szCs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落实节能减排、绿色发展的要求，推动博物馆基础设施、设备节能化改造和低耗能运行的情况</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通过互联网、新媒体为公众提供各类在线服务的情况</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采取有效措施解决老年人运用智能技术困难问题的情况</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落实常态化疫情防控工作要求为开放服务提供保障的情况</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定量评估指标（原始分100分）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全年开放天数（基础分：10天/分）</w:t>
            </w:r>
          </w:p>
        </w:tc>
        <w:tc>
          <w:tcPr>
            <w:tcW w:w="600" w:type="dxa"/>
            <w:noWrap w:val="0"/>
            <w:vAlign w:val="center"/>
          </w:tcPr>
          <w:p>
            <w:pPr>
              <w:jc w:val="center"/>
              <w:rPr>
                <w:color w:val="000000"/>
                <w:sz w:val="24"/>
                <w:szCs w:val="24"/>
              </w:rPr>
            </w:pPr>
            <w:r>
              <w:rPr>
                <w:rFonts w:hint="eastAsia"/>
                <w:color w:val="000000"/>
                <w:sz w:val="24"/>
                <w:szCs w:val="24"/>
              </w:rPr>
              <w:t>50</w:t>
            </w:r>
          </w:p>
        </w:tc>
        <w:tc>
          <w:tcPr>
            <w:tcW w:w="636" w:type="dxa"/>
            <w:noWrap w:val="0"/>
            <w:vAlign w:val="center"/>
          </w:tcPr>
          <w:p>
            <w:pPr>
              <w:jc w:val="center"/>
              <w:rPr>
                <w:color w:val="000000"/>
                <w:sz w:val="24"/>
                <w:szCs w:val="24"/>
              </w:rPr>
            </w:pPr>
            <w:r>
              <w:rPr>
                <w:rFonts w:hint="eastAsia"/>
                <w:color w:val="000000"/>
                <w:sz w:val="24"/>
                <w:szCs w:val="24"/>
              </w:rPr>
              <w:t>50</w:t>
            </w:r>
          </w:p>
        </w:tc>
        <w:tc>
          <w:tcPr>
            <w:tcW w:w="545" w:type="dxa"/>
            <w:noWrap w:val="0"/>
            <w:vAlign w:val="center"/>
          </w:tcPr>
          <w:p>
            <w:pPr>
              <w:jc w:val="center"/>
              <w:rPr>
                <w:color w:val="000000"/>
                <w:sz w:val="24"/>
                <w:szCs w:val="24"/>
              </w:rPr>
            </w:pPr>
            <w:r>
              <w:rPr>
                <w:rFonts w:hint="eastAsia"/>
                <w:color w:val="000000"/>
                <w:sz w:val="24"/>
                <w:szCs w:val="24"/>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在线服务总量（基础分：10000人次/分）</w:t>
            </w:r>
          </w:p>
        </w:tc>
        <w:tc>
          <w:tcPr>
            <w:tcW w:w="600" w:type="dxa"/>
            <w:noWrap w:val="0"/>
            <w:vAlign w:val="center"/>
          </w:tcPr>
          <w:p>
            <w:pPr>
              <w:jc w:val="center"/>
              <w:rPr>
                <w:color w:val="000000"/>
                <w:sz w:val="24"/>
                <w:szCs w:val="24"/>
              </w:rPr>
            </w:pPr>
            <w:r>
              <w:rPr>
                <w:rFonts w:hint="eastAsia"/>
                <w:color w:val="000000"/>
                <w:sz w:val="24"/>
                <w:szCs w:val="24"/>
              </w:rPr>
              <w:t>50</w:t>
            </w:r>
          </w:p>
        </w:tc>
        <w:tc>
          <w:tcPr>
            <w:tcW w:w="636" w:type="dxa"/>
            <w:noWrap w:val="0"/>
            <w:vAlign w:val="center"/>
          </w:tcPr>
          <w:p>
            <w:pPr>
              <w:jc w:val="center"/>
              <w:rPr>
                <w:color w:val="000000"/>
                <w:sz w:val="24"/>
                <w:szCs w:val="24"/>
              </w:rPr>
            </w:pPr>
            <w:r>
              <w:rPr>
                <w:rFonts w:hint="eastAsia"/>
                <w:color w:val="000000"/>
                <w:sz w:val="24"/>
                <w:szCs w:val="24"/>
              </w:rPr>
              <w:t>50</w:t>
            </w:r>
          </w:p>
        </w:tc>
        <w:tc>
          <w:tcPr>
            <w:tcW w:w="545" w:type="dxa"/>
            <w:noWrap w:val="0"/>
            <w:vAlign w:val="center"/>
          </w:tcPr>
          <w:p>
            <w:pPr>
              <w:jc w:val="center"/>
              <w:rPr>
                <w:color w:val="000000"/>
                <w:sz w:val="24"/>
                <w:szCs w:val="24"/>
              </w:rPr>
            </w:pPr>
            <w:r>
              <w:rPr>
                <w:rFonts w:hint="eastAsia"/>
                <w:color w:val="000000"/>
                <w:sz w:val="24"/>
                <w:szCs w:val="24"/>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1.4</w:t>
            </w:r>
          </w:p>
        </w:tc>
        <w:tc>
          <w:tcPr>
            <w:tcW w:w="1230" w:type="dxa"/>
            <w:noWrap w:val="0"/>
            <w:vAlign w:val="center"/>
          </w:tcPr>
          <w:p>
            <w:pPr>
              <w:jc w:val="center"/>
              <w:rPr>
                <w:color w:val="000000"/>
                <w:sz w:val="24"/>
                <w:szCs w:val="24"/>
              </w:rPr>
            </w:pPr>
            <w:r>
              <w:rPr>
                <w:rFonts w:hint="eastAsia"/>
                <w:color w:val="000000"/>
                <w:sz w:val="24"/>
                <w:szCs w:val="24"/>
              </w:rPr>
              <w:t>二级指标</w:t>
            </w:r>
          </w:p>
        </w:tc>
        <w:tc>
          <w:tcPr>
            <w:tcW w:w="4644" w:type="dxa"/>
            <w:noWrap w:val="0"/>
            <w:vAlign w:val="center"/>
          </w:tcPr>
          <w:p>
            <w:pPr>
              <w:jc w:val="left"/>
              <w:rPr>
                <w:color w:val="000000"/>
                <w:sz w:val="24"/>
                <w:szCs w:val="24"/>
              </w:rPr>
            </w:pPr>
            <w:r>
              <w:rPr>
                <w:rFonts w:hint="eastAsia"/>
                <w:color w:val="000000"/>
                <w:sz w:val="24"/>
                <w:szCs w:val="24"/>
              </w:rPr>
              <w:t>安全管理</w:t>
            </w:r>
          </w:p>
        </w:tc>
        <w:tc>
          <w:tcPr>
            <w:tcW w:w="1781" w:type="dxa"/>
            <w:gridSpan w:val="3"/>
            <w:noWrap w:val="0"/>
            <w:vAlign w:val="center"/>
          </w:tcPr>
          <w:p>
            <w:pPr>
              <w:jc w:val="center"/>
              <w:rPr>
                <w:color w:val="000000"/>
                <w:sz w:val="24"/>
                <w:szCs w:val="24"/>
              </w:rPr>
            </w:pPr>
            <w:r>
              <w:rPr>
                <w:rFonts w:hint="eastAsia"/>
                <w:color w:val="000000"/>
                <w:sz w:val="24"/>
                <w:szCs w:val="24"/>
              </w:rPr>
              <w:t>指标权重6%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定性评估指标（原始分100分）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1.4.1</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意识形态安全</w:t>
            </w:r>
          </w:p>
        </w:tc>
        <w:tc>
          <w:tcPr>
            <w:tcW w:w="600" w:type="dxa"/>
            <w:noWrap w:val="0"/>
            <w:vAlign w:val="center"/>
          </w:tcPr>
          <w:p>
            <w:pPr>
              <w:jc w:val="center"/>
              <w:rPr>
                <w:color w:val="000000"/>
                <w:sz w:val="24"/>
                <w:szCs w:val="24"/>
              </w:rPr>
            </w:pPr>
            <w:r>
              <w:rPr>
                <w:rFonts w:hint="eastAsia"/>
                <w:color w:val="000000"/>
                <w:sz w:val="24"/>
                <w:szCs w:val="24"/>
              </w:rPr>
              <w:t>18</w:t>
            </w:r>
          </w:p>
        </w:tc>
        <w:tc>
          <w:tcPr>
            <w:tcW w:w="636" w:type="dxa"/>
            <w:noWrap w:val="0"/>
            <w:vAlign w:val="center"/>
          </w:tcPr>
          <w:p>
            <w:pPr>
              <w:jc w:val="center"/>
              <w:rPr>
                <w:color w:val="000000"/>
                <w:sz w:val="24"/>
                <w:szCs w:val="24"/>
              </w:rPr>
            </w:pPr>
            <w:r>
              <w:rPr>
                <w:rFonts w:hint="eastAsia"/>
                <w:color w:val="000000"/>
                <w:sz w:val="24"/>
                <w:szCs w:val="24"/>
              </w:rPr>
              <w:t>20</w:t>
            </w:r>
          </w:p>
        </w:tc>
        <w:tc>
          <w:tcPr>
            <w:tcW w:w="545" w:type="dxa"/>
            <w:noWrap w:val="0"/>
            <w:vAlign w:val="center"/>
          </w:tcPr>
          <w:p>
            <w:pPr>
              <w:jc w:val="center"/>
              <w:rPr>
                <w:color w:val="000000"/>
                <w:sz w:val="24"/>
                <w:szCs w:val="24"/>
              </w:rPr>
            </w:pPr>
            <w:r>
              <w:rPr>
                <w:rFonts w:hint="eastAsia"/>
                <w:color w:val="000000"/>
                <w:sz w:val="24"/>
                <w:szCs w:val="24"/>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坚持正确方向，党建与业务相融合情况</w:t>
            </w:r>
          </w:p>
        </w:tc>
        <w:tc>
          <w:tcPr>
            <w:tcW w:w="600" w:type="dxa"/>
            <w:noWrap w:val="0"/>
            <w:vAlign w:val="center"/>
          </w:tcPr>
          <w:p>
            <w:pPr>
              <w:jc w:val="center"/>
              <w:rPr>
                <w:color w:val="000000"/>
                <w:sz w:val="24"/>
                <w:szCs w:val="24"/>
              </w:rPr>
            </w:pPr>
            <w:r>
              <w:rPr>
                <w:color w:val="000000"/>
                <w:sz w:val="24"/>
                <w:szCs w:val="24"/>
              </w:rPr>
              <w:t>5</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color w:val="000000"/>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rPr>
                <w:color w:val="000000"/>
                <w:sz w:val="24"/>
                <w:szCs w:val="24"/>
              </w:rPr>
            </w:pPr>
            <w:r>
              <w:rPr>
                <w:rFonts w:hint="eastAsia"/>
                <w:color w:val="000000"/>
                <w:sz w:val="24"/>
                <w:szCs w:val="24"/>
              </w:rPr>
              <w:t>博物馆落实意识形态工作责任制，健全并落实各级主体责任，将意识形态工作纳入工作规划、计划和重要议事日程，纳入领导班子和成员目标管理的情况</w:t>
            </w:r>
          </w:p>
        </w:tc>
        <w:tc>
          <w:tcPr>
            <w:tcW w:w="600" w:type="dxa"/>
            <w:noWrap w:val="0"/>
            <w:vAlign w:val="center"/>
          </w:tcPr>
          <w:p>
            <w:pPr>
              <w:jc w:val="center"/>
              <w:rPr>
                <w:color w:val="000000"/>
                <w:sz w:val="24"/>
                <w:szCs w:val="24"/>
              </w:rPr>
            </w:pPr>
            <w:r>
              <w:rPr>
                <w:rFonts w:hint="eastAsia"/>
                <w:color w:val="000000"/>
                <w:sz w:val="24"/>
                <w:szCs w:val="24"/>
              </w:rPr>
              <w:t>5</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ascii="Calibri" w:hAnsi="Calibri" w:cs="Times New Roman"/>
                <w:color w:val="000000"/>
                <w:sz w:val="24"/>
                <w:szCs w:val="24"/>
              </w:rPr>
              <w:t>博物馆加强意识形态阵地建设，在展陈、教育、传播、文创、信息发布等各项工作中严把政治导向，按要求履行活动报告、审批程序，加强内容审核管理的情况</w:t>
            </w:r>
            <w:r>
              <w:rPr>
                <w:rFonts w:hint="eastAsia" w:ascii="宋体" w:hAnsi="宋体" w:eastAsia="宋体" w:cs="宋体"/>
                <w:color w:val="000000"/>
                <w:sz w:val="24"/>
                <w:szCs w:val="24"/>
                <w:shd w:val="clear" w:color="auto" w:fill="FFFFFF"/>
              </w:rPr>
              <w:t xml:space="preserve"> </w:t>
            </w:r>
          </w:p>
        </w:tc>
        <w:tc>
          <w:tcPr>
            <w:tcW w:w="600" w:type="dxa"/>
            <w:noWrap w:val="0"/>
            <w:vAlign w:val="center"/>
          </w:tcPr>
          <w:p>
            <w:pPr>
              <w:jc w:val="center"/>
              <w:rPr>
                <w:color w:val="000000"/>
                <w:sz w:val="24"/>
                <w:szCs w:val="24"/>
              </w:rPr>
            </w:pPr>
            <w:r>
              <w:rPr>
                <w:rFonts w:hint="eastAsia"/>
                <w:color w:val="000000"/>
                <w:sz w:val="24"/>
                <w:szCs w:val="24"/>
              </w:rPr>
              <w:t>4</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color w:val="00000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ascii="Calibri" w:hAnsi="Calibri" w:cs="Times New Roman"/>
                <w:color w:val="000000"/>
                <w:sz w:val="24"/>
                <w:szCs w:val="24"/>
              </w:rPr>
              <w:t>博物馆强化意识形态风险防控，开展工作人员教育培训，健全舆情监测、研判、回应机制，制订、执行意识形态安全应急预案，及时开展舆情处置和舆论引导工作，防范化解意识形态领域安全风险的情况</w:t>
            </w:r>
          </w:p>
        </w:tc>
        <w:tc>
          <w:tcPr>
            <w:tcW w:w="600" w:type="dxa"/>
            <w:noWrap w:val="0"/>
            <w:vAlign w:val="center"/>
          </w:tcPr>
          <w:p>
            <w:pPr>
              <w:jc w:val="center"/>
              <w:rPr>
                <w:color w:val="000000"/>
                <w:sz w:val="24"/>
                <w:szCs w:val="24"/>
              </w:rPr>
            </w:pPr>
            <w:r>
              <w:rPr>
                <w:color w:val="000000"/>
                <w:sz w:val="24"/>
                <w:szCs w:val="24"/>
              </w:rPr>
              <w:t>4</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1.4.2</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藏品安全</w:t>
            </w:r>
          </w:p>
        </w:tc>
        <w:tc>
          <w:tcPr>
            <w:tcW w:w="600" w:type="dxa"/>
            <w:noWrap w:val="0"/>
            <w:vAlign w:val="center"/>
          </w:tcPr>
          <w:p>
            <w:pPr>
              <w:jc w:val="center"/>
              <w:rPr>
                <w:color w:val="000000"/>
                <w:sz w:val="24"/>
                <w:szCs w:val="24"/>
              </w:rPr>
            </w:pPr>
            <w:r>
              <w:rPr>
                <w:rFonts w:hint="eastAsia"/>
                <w:color w:val="000000"/>
                <w:sz w:val="24"/>
                <w:szCs w:val="24"/>
              </w:rPr>
              <w:t>37</w:t>
            </w:r>
          </w:p>
        </w:tc>
        <w:tc>
          <w:tcPr>
            <w:tcW w:w="636" w:type="dxa"/>
            <w:noWrap w:val="0"/>
            <w:vAlign w:val="center"/>
          </w:tcPr>
          <w:p>
            <w:pPr>
              <w:jc w:val="center"/>
              <w:rPr>
                <w:color w:val="000000"/>
                <w:sz w:val="24"/>
                <w:szCs w:val="24"/>
              </w:rPr>
            </w:pPr>
            <w:r>
              <w:rPr>
                <w:rFonts w:hint="eastAsia"/>
                <w:color w:val="000000"/>
                <w:sz w:val="24"/>
                <w:szCs w:val="24"/>
              </w:rPr>
              <w:t>40</w:t>
            </w:r>
          </w:p>
        </w:tc>
        <w:tc>
          <w:tcPr>
            <w:tcW w:w="545" w:type="dxa"/>
            <w:noWrap w:val="0"/>
            <w:vAlign w:val="center"/>
          </w:tcPr>
          <w:p>
            <w:pPr>
              <w:jc w:val="center"/>
              <w:rPr>
                <w:color w:val="000000"/>
                <w:sz w:val="24"/>
                <w:szCs w:val="24"/>
              </w:rPr>
            </w:pPr>
            <w:r>
              <w:rPr>
                <w:rFonts w:hint="eastAsia"/>
                <w:color w:val="000000"/>
                <w:sz w:val="24"/>
                <w:szCs w:val="24"/>
              </w:rPr>
              <w:t>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按照GA27-2002、GB/T 16571-2012及相关标准要求，在库房和展厅内，配备保障藏品安全的设备、设施情况</w:t>
            </w:r>
          </w:p>
        </w:tc>
        <w:tc>
          <w:tcPr>
            <w:tcW w:w="600" w:type="dxa"/>
            <w:noWrap w:val="0"/>
            <w:vAlign w:val="center"/>
          </w:tcPr>
          <w:p>
            <w:pPr>
              <w:jc w:val="center"/>
              <w:rPr>
                <w:color w:val="000000"/>
                <w:sz w:val="24"/>
                <w:szCs w:val="24"/>
              </w:rPr>
            </w:pPr>
            <w:r>
              <w:rPr>
                <w:rFonts w:hint="eastAsia"/>
                <w:color w:val="000000"/>
                <w:sz w:val="24"/>
                <w:szCs w:val="24"/>
              </w:rPr>
              <w:t>13</w:t>
            </w:r>
          </w:p>
        </w:tc>
        <w:tc>
          <w:tcPr>
            <w:tcW w:w="636" w:type="dxa"/>
            <w:noWrap w:val="0"/>
            <w:vAlign w:val="center"/>
          </w:tcPr>
          <w:p>
            <w:pPr>
              <w:jc w:val="center"/>
              <w:rPr>
                <w:color w:val="000000"/>
                <w:sz w:val="24"/>
                <w:szCs w:val="24"/>
              </w:rPr>
            </w:pPr>
            <w:r>
              <w:rPr>
                <w:rFonts w:hint="eastAsia"/>
                <w:color w:val="000000"/>
                <w:sz w:val="24"/>
                <w:szCs w:val="24"/>
              </w:rPr>
              <w:t>14</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对藏品安全保障设备、设施的检查、维护情况</w:t>
            </w:r>
          </w:p>
        </w:tc>
        <w:tc>
          <w:tcPr>
            <w:tcW w:w="600" w:type="dxa"/>
            <w:noWrap w:val="0"/>
            <w:vAlign w:val="center"/>
          </w:tcPr>
          <w:p>
            <w:pPr>
              <w:jc w:val="center"/>
              <w:rPr>
                <w:color w:val="000000"/>
                <w:sz w:val="24"/>
                <w:szCs w:val="24"/>
              </w:rPr>
            </w:pPr>
            <w:r>
              <w:rPr>
                <w:rFonts w:hint="eastAsia"/>
                <w:color w:val="000000"/>
                <w:sz w:val="24"/>
                <w:szCs w:val="24"/>
              </w:rPr>
              <w:t>13</w:t>
            </w:r>
          </w:p>
        </w:tc>
        <w:tc>
          <w:tcPr>
            <w:tcW w:w="636" w:type="dxa"/>
            <w:noWrap w:val="0"/>
            <w:vAlign w:val="center"/>
          </w:tcPr>
          <w:p>
            <w:pPr>
              <w:jc w:val="center"/>
              <w:rPr>
                <w:color w:val="000000"/>
                <w:sz w:val="24"/>
                <w:szCs w:val="24"/>
              </w:rPr>
            </w:pPr>
            <w:r>
              <w:rPr>
                <w:rFonts w:hint="eastAsia"/>
                <w:color w:val="000000"/>
                <w:sz w:val="24"/>
                <w:szCs w:val="24"/>
              </w:rPr>
              <w:t>14</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对珍贵文物和易损藏品的特殊保管情况</w:t>
            </w:r>
          </w:p>
        </w:tc>
        <w:tc>
          <w:tcPr>
            <w:tcW w:w="600" w:type="dxa"/>
            <w:noWrap w:val="0"/>
            <w:vAlign w:val="center"/>
          </w:tcPr>
          <w:p>
            <w:pPr>
              <w:jc w:val="center"/>
              <w:rPr>
                <w:color w:val="000000"/>
                <w:sz w:val="24"/>
                <w:szCs w:val="24"/>
              </w:rPr>
            </w:pPr>
            <w:r>
              <w:rPr>
                <w:rFonts w:hint="eastAsia"/>
                <w:color w:val="000000"/>
                <w:sz w:val="24"/>
                <w:szCs w:val="24"/>
              </w:rPr>
              <w:t>11</w:t>
            </w:r>
          </w:p>
        </w:tc>
        <w:tc>
          <w:tcPr>
            <w:tcW w:w="636" w:type="dxa"/>
            <w:noWrap w:val="0"/>
            <w:vAlign w:val="center"/>
          </w:tcPr>
          <w:p>
            <w:pPr>
              <w:jc w:val="center"/>
              <w:rPr>
                <w:color w:val="000000"/>
                <w:sz w:val="24"/>
                <w:szCs w:val="24"/>
              </w:rPr>
            </w:pPr>
            <w:r>
              <w:rPr>
                <w:rFonts w:hint="eastAsia"/>
                <w:color w:val="000000"/>
                <w:sz w:val="24"/>
                <w:szCs w:val="24"/>
              </w:rPr>
              <w:t>12</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1.4.3</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公共安全</w:t>
            </w:r>
          </w:p>
        </w:tc>
        <w:tc>
          <w:tcPr>
            <w:tcW w:w="600" w:type="dxa"/>
            <w:noWrap w:val="0"/>
            <w:vAlign w:val="center"/>
          </w:tcPr>
          <w:p>
            <w:pPr>
              <w:jc w:val="center"/>
              <w:rPr>
                <w:color w:val="000000"/>
                <w:sz w:val="24"/>
                <w:szCs w:val="24"/>
              </w:rPr>
            </w:pPr>
            <w:r>
              <w:rPr>
                <w:rFonts w:hint="eastAsia"/>
                <w:color w:val="000000"/>
                <w:sz w:val="24"/>
                <w:szCs w:val="24"/>
              </w:rPr>
              <w:t>27</w:t>
            </w:r>
          </w:p>
        </w:tc>
        <w:tc>
          <w:tcPr>
            <w:tcW w:w="636" w:type="dxa"/>
            <w:noWrap w:val="0"/>
            <w:vAlign w:val="center"/>
          </w:tcPr>
          <w:p>
            <w:pPr>
              <w:jc w:val="center"/>
              <w:rPr>
                <w:color w:val="000000"/>
                <w:sz w:val="24"/>
                <w:szCs w:val="24"/>
              </w:rPr>
            </w:pPr>
            <w:r>
              <w:rPr>
                <w:rFonts w:hint="eastAsia"/>
                <w:color w:val="000000"/>
                <w:sz w:val="24"/>
                <w:szCs w:val="24"/>
              </w:rPr>
              <w:t>20</w:t>
            </w:r>
          </w:p>
        </w:tc>
        <w:tc>
          <w:tcPr>
            <w:tcW w:w="545" w:type="dxa"/>
            <w:noWrap w:val="0"/>
            <w:vAlign w:val="center"/>
          </w:tcPr>
          <w:p>
            <w:pPr>
              <w:jc w:val="center"/>
              <w:rPr>
                <w:color w:val="000000"/>
                <w:sz w:val="24"/>
                <w:szCs w:val="24"/>
              </w:rPr>
            </w:pPr>
            <w:r>
              <w:rPr>
                <w:rFonts w:hint="eastAsia"/>
                <w:color w:val="000000"/>
                <w:sz w:val="24"/>
                <w:szCs w:val="24"/>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博物馆安保人员配备和日常管理工作情况</w:t>
            </w:r>
          </w:p>
        </w:tc>
        <w:tc>
          <w:tcPr>
            <w:tcW w:w="600" w:type="dxa"/>
            <w:noWrap w:val="0"/>
            <w:vAlign w:val="center"/>
          </w:tcPr>
          <w:p>
            <w:pPr>
              <w:jc w:val="center"/>
              <w:rPr>
                <w:color w:val="000000"/>
                <w:sz w:val="24"/>
                <w:szCs w:val="24"/>
              </w:rPr>
            </w:pPr>
            <w:r>
              <w:rPr>
                <w:rFonts w:hint="eastAsia"/>
                <w:color w:val="000000"/>
                <w:sz w:val="24"/>
                <w:szCs w:val="24"/>
              </w:rPr>
              <w:t>5</w:t>
            </w:r>
          </w:p>
        </w:tc>
        <w:tc>
          <w:tcPr>
            <w:tcW w:w="636" w:type="dxa"/>
            <w:noWrap w:val="0"/>
            <w:vAlign w:val="center"/>
          </w:tcPr>
          <w:p>
            <w:pPr>
              <w:jc w:val="center"/>
              <w:rPr>
                <w:color w:val="000000"/>
                <w:sz w:val="24"/>
                <w:szCs w:val="24"/>
              </w:rPr>
            </w:pPr>
            <w:r>
              <w:rPr>
                <w:rFonts w:hint="eastAsia"/>
                <w:color w:val="000000"/>
                <w:sz w:val="24"/>
                <w:szCs w:val="24"/>
              </w:rPr>
              <w:t>4</w:t>
            </w:r>
          </w:p>
        </w:tc>
        <w:tc>
          <w:tcPr>
            <w:tcW w:w="545" w:type="dxa"/>
            <w:noWrap w:val="0"/>
            <w:vAlign w:val="center"/>
          </w:tcPr>
          <w:p>
            <w:pPr>
              <w:jc w:val="center"/>
              <w:rPr>
                <w:color w:val="000000"/>
                <w:sz w:val="24"/>
                <w:szCs w:val="24"/>
              </w:rPr>
            </w:pPr>
            <w:r>
              <w:rPr>
                <w:rFonts w:hint="eastAsia"/>
                <w:color w:val="000000"/>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按照GA27-2002、GB/T 16571-2012及相关标准有关要求，在开放区域内，配备保障公共安全的消防、安防设施设备情况</w:t>
            </w:r>
          </w:p>
        </w:tc>
        <w:tc>
          <w:tcPr>
            <w:tcW w:w="600" w:type="dxa"/>
            <w:noWrap w:val="0"/>
            <w:vAlign w:val="center"/>
          </w:tcPr>
          <w:p>
            <w:pPr>
              <w:jc w:val="center"/>
              <w:rPr>
                <w:color w:val="000000"/>
                <w:sz w:val="24"/>
                <w:szCs w:val="24"/>
              </w:rPr>
            </w:pPr>
            <w:r>
              <w:rPr>
                <w:rFonts w:hint="eastAsia"/>
                <w:color w:val="000000"/>
                <w:sz w:val="24"/>
                <w:szCs w:val="24"/>
              </w:rPr>
              <w:t>5</w:t>
            </w:r>
          </w:p>
        </w:tc>
        <w:tc>
          <w:tcPr>
            <w:tcW w:w="636" w:type="dxa"/>
            <w:noWrap w:val="0"/>
            <w:vAlign w:val="center"/>
          </w:tcPr>
          <w:p>
            <w:pPr>
              <w:jc w:val="center"/>
              <w:rPr>
                <w:color w:val="000000"/>
                <w:sz w:val="24"/>
                <w:szCs w:val="24"/>
              </w:rPr>
            </w:pPr>
            <w:r>
              <w:rPr>
                <w:rFonts w:hint="eastAsia"/>
                <w:color w:val="000000"/>
                <w:sz w:val="24"/>
                <w:szCs w:val="24"/>
              </w:rPr>
              <w:t>4</w:t>
            </w:r>
          </w:p>
        </w:tc>
        <w:tc>
          <w:tcPr>
            <w:tcW w:w="545" w:type="dxa"/>
            <w:noWrap w:val="0"/>
            <w:vAlign w:val="center"/>
          </w:tcPr>
          <w:p>
            <w:pPr>
              <w:jc w:val="center"/>
              <w:rPr>
                <w:color w:val="000000"/>
                <w:sz w:val="24"/>
                <w:szCs w:val="24"/>
              </w:rPr>
            </w:pPr>
            <w:r>
              <w:rPr>
                <w:rFonts w:hint="eastAsia"/>
                <w:color w:val="000000"/>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消防安全设备设施的使用情况</w:t>
            </w:r>
          </w:p>
        </w:tc>
        <w:tc>
          <w:tcPr>
            <w:tcW w:w="600" w:type="dxa"/>
            <w:noWrap w:val="0"/>
            <w:vAlign w:val="center"/>
          </w:tcPr>
          <w:p>
            <w:pPr>
              <w:jc w:val="center"/>
              <w:rPr>
                <w:color w:val="000000"/>
                <w:sz w:val="24"/>
                <w:szCs w:val="24"/>
              </w:rPr>
            </w:pPr>
            <w:r>
              <w:rPr>
                <w:rFonts w:hint="eastAsia"/>
                <w:color w:val="000000"/>
                <w:sz w:val="24"/>
                <w:szCs w:val="24"/>
              </w:rPr>
              <w:t>4</w:t>
            </w:r>
          </w:p>
        </w:tc>
        <w:tc>
          <w:tcPr>
            <w:tcW w:w="636" w:type="dxa"/>
            <w:noWrap w:val="0"/>
            <w:vAlign w:val="center"/>
          </w:tcPr>
          <w:p>
            <w:pPr>
              <w:jc w:val="center"/>
              <w:rPr>
                <w:color w:val="000000"/>
                <w:sz w:val="24"/>
                <w:szCs w:val="24"/>
              </w:rPr>
            </w:pPr>
            <w:r>
              <w:rPr>
                <w:rFonts w:hint="eastAsia"/>
                <w:color w:val="000000"/>
                <w:sz w:val="24"/>
                <w:szCs w:val="24"/>
              </w:rPr>
              <w:t>3</w:t>
            </w:r>
          </w:p>
        </w:tc>
        <w:tc>
          <w:tcPr>
            <w:tcW w:w="545" w:type="dxa"/>
            <w:noWrap w:val="0"/>
            <w:vAlign w:val="center"/>
          </w:tcPr>
          <w:p>
            <w:pPr>
              <w:jc w:val="center"/>
              <w:rPr>
                <w:color w:val="000000"/>
                <w:sz w:val="24"/>
                <w:szCs w:val="24"/>
              </w:rPr>
            </w:pPr>
            <w:r>
              <w:rPr>
                <w:rFonts w:hint="eastAsia"/>
                <w:color w:val="000000"/>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博物馆针对突发事件的预防措施、应急预案、善后处置措施准备情况</w:t>
            </w:r>
          </w:p>
        </w:tc>
        <w:tc>
          <w:tcPr>
            <w:tcW w:w="600" w:type="dxa"/>
            <w:noWrap w:val="0"/>
            <w:vAlign w:val="center"/>
          </w:tcPr>
          <w:p>
            <w:pPr>
              <w:jc w:val="center"/>
              <w:rPr>
                <w:color w:val="000000"/>
                <w:sz w:val="24"/>
                <w:szCs w:val="24"/>
              </w:rPr>
            </w:pPr>
            <w:r>
              <w:rPr>
                <w:rFonts w:hint="eastAsia"/>
                <w:color w:val="000000"/>
                <w:sz w:val="24"/>
                <w:szCs w:val="24"/>
              </w:rPr>
              <w:t>5</w:t>
            </w:r>
          </w:p>
        </w:tc>
        <w:tc>
          <w:tcPr>
            <w:tcW w:w="636" w:type="dxa"/>
            <w:noWrap w:val="0"/>
            <w:vAlign w:val="center"/>
          </w:tcPr>
          <w:p>
            <w:pPr>
              <w:jc w:val="center"/>
              <w:rPr>
                <w:color w:val="000000"/>
                <w:sz w:val="24"/>
                <w:szCs w:val="24"/>
              </w:rPr>
            </w:pPr>
            <w:r>
              <w:rPr>
                <w:rFonts w:hint="eastAsia"/>
                <w:color w:val="000000"/>
                <w:sz w:val="24"/>
                <w:szCs w:val="24"/>
              </w:rPr>
              <w:t>4</w:t>
            </w:r>
          </w:p>
        </w:tc>
        <w:tc>
          <w:tcPr>
            <w:tcW w:w="545" w:type="dxa"/>
            <w:noWrap w:val="0"/>
            <w:vAlign w:val="center"/>
          </w:tcPr>
          <w:p>
            <w:pPr>
              <w:jc w:val="center"/>
              <w:rPr>
                <w:color w:val="000000"/>
                <w:sz w:val="24"/>
                <w:szCs w:val="24"/>
              </w:rPr>
            </w:pPr>
            <w:r>
              <w:rPr>
                <w:rFonts w:hint="eastAsia"/>
                <w:color w:val="000000"/>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定期组织开展消防、安防演练情况</w:t>
            </w:r>
          </w:p>
        </w:tc>
        <w:tc>
          <w:tcPr>
            <w:tcW w:w="600" w:type="dxa"/>
            <w:noWrap w:val="0"/>
            <w:vAlign w:val="center"/>
          </w:tcPr>
          <w:p>
            <w:pPr>
              <w:jc w:val="center"/>
              <w:rPr>
                <w:color w:val="000000"/>
                <w:sz w:val="24"/>
                <w:szCs w:val="24"/>
              </w:rPr>
            </w:pPr>
            <w:r>
              <w:rPr>
                <w:rFonts w:hint="eastAsia"/>
                <w:color w:val="000000"/>
                <w:sz w:val="24"/>
                <w:szCs w:val="24"/>
              </w:rPr>
              <w:t>5</w:t>
            </w:r>
          </w:p>
        </w:tc>
        <w:tc>
          <w:tcPr>
            <w:tcW w:w="636" w:type="dxa"/>
            <w:noWrap w:val="0"/>
            <w:vAlign w:val="center"/>
          </w:tcPr>
          <w:p>
            <w:pPr>
              <w:jc w:val="center"/>
              <w:rPr>
                <w:color w:val="000000"/>
                <w:sz w:val="24"/>
                <w:szCs w:val="24"/>
              </w:rPr>
            </w:pPr>
            <w:r>
              <w:rPr>
                <w:rFonts w:hint="eastAsia"/>
                <w:color w:val="000000"/>
                <w:sz w:val="24"/>
                <w:szCs w:val="24"/>
              </w:rPr>
              <w:t>3</w:t>
            </w:r>
          </w:p>
        </w:tc>
        <w:tc>
          <w:tcPr>
            <w:tcW w:w="545" w:type="dxa"/>
            <w:noWrap w:val="0"/>
            <w:vAlign w:val="center"/>
          </w:tcPr>
          <w:p>
            <w:pPr>
              <w:jc w:val="center"/>
              <w:rPr>
                <w:color w:val="000000"/>
                <w:sz w:val="24"/>
                <w:szCs w:val="24"/>
              </w:rPr>
            </w:pPr>
            <w:r>
              <w:rPr>
                <w:rFonts w:hint="eastAsia"/>
                <w:color w:val="000000"/>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属地公安、消防部门对博物馆安保工作的检查、验收情况</w:t>
            </w:r>
          </w:p>
        </w:tc>
        <w:tc>
          <w:tcPr>
            <w:tcW w:w="600" w:type="dxa"/>
            <w:noWrap w:val="0"/>
            <w:vAlign w:val="center"/>
          </w:tcPr>
          <w:p>
            <w:pPr>
              <w:jc w:val="center"/>
              <w:rPr>
                <w:color w:val="000000"/>
                <w:sz w:val="24"/>
                <w:szCs w:val="24"/>
              </w:rPr>
            </w:pPr>
            <w:r>
              <w:rPr>
                <w:rFonts w:hint="eastAsia"/>
                <w:color w:val="000000"/>
                <w:sz w:val="24"/>
                <w:szCs w:val="24"/>
              </w:rPr>
              <w:t>3</w:t>
            </w:r>
          </w:p>
        </w:tc>
        <w:tc>
          <w:tcPr>
            <w:tcW w:w="636" w:type="dxa"/>
            <w:noWrap w:val="0"/>
            <w:vAlign w:val="center"/>
          </w:tcPr>
          <w:p>
            <w:pPr>
              <w:jc w:val="center"/>
              <w:rPr>
                <w:color w:val="000000"/>
                <w:sz w:val="24"/>
                <w:szCs w:val="24"/>
              </w:rPr>
            </w:pPr>
            <w:r>
              <w:rPr>
                <w:rFonts w:hint="eastAsia"/>
                <w:color w:val="000000"/>
                <w:sz w:val="24"/>
                <w:szCs w:val="24"/>
              </w:rPr>
              <w:t>2</w:t>
            </w:r>
          </w:p>
        </w:tc>
        <w:tc>
          <w:tcPr>
            <w:tcW w:w="545" w:type="dxa"/>
            <w:noWrap w:val="0"/>
            <w:vAlign w:val="center"/>
          </w:tcPr>
          <w:p>
            <w:pPr>
              <w:jc w:val="center"/>
              <w:rPr>
                <w:color w:val="000000"/>
                <w:sz w:val="24"/>
                <w:szCs w:val="24"/>
              </w:rPr>
            </w:pPr>
            <w:r>
              <w:rPr>
                <w:rFonts w:hint="eastAsia"/>
                <w:color w:val="000000"/>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1.4.4</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信息安全</w:t>
            </w:r>
          </w:p>
        </w:tc>
        <w:tc>
          <w:tcPr>
            <w:tcW w:w="600" w:type="dxa"/>
            <w:noWrap w:val="0"/>
            <w:vAlign w:val="center"/>
          </w:tcPr>
          <w:p>
            <w:pPr>
              <w:jc w:val="center"/>
              <w:rPr>
                <w:color w:val="000000"/>
                <w:sz w:val="24"/>
                <w:szCs w:val="24"/>
              </w:rPr>
            </w:pPr>
            <w:r>
              <w:rPr>
                <w:rFonts w:hint="eastAsia"/>
                <w:color w:val="000000"/>
                <w:sz w:val="24"/>
                <w:szCs w:val="24"/>
              </w:rPr>
              <w:t>18</w:t>
            </w:r>
          </w:p>
        </w:tc>
        <w:tc>
          <w:tcPr>
            <w:tcW w:w="636" w:type="dxa"/>
            <w:noWrap w:val="0"/>
            <w:vAlign w:val="center"/>
          </w:tcPr>
          <w:p>
            <w:pPr>
              <w:jc w:val="center"/>
              <w:rPr>
                <w:color w:val="000000"/>
                <w:sz w:val="24"/>
                <w:szCs w:val="24"/>
              </w:rPr>
            </w:pPr>
            <w:r>
              <w:rPr>
                <w:rFonts w:hint="eastAsia"/>
                <w:color w:val="000000"/>
                <w:sz w:val="24"/>
                <w:szCs w:val="24"/>
              </w:rPr>
              <w:t>20</w:t>
            </w:r>
          </w:p>
        </w:tc>
        <w:tc>
          <w:tcPr>
            <w:tcW w:w="545" w:type="dxa"/>
            <w:noWrap w:val="0"/>
            <w:vAlign w:val="center"/>
          </w:tcPr>
          <w:p>
            <w:pPr>
              <w:jc w:val="center"/>
              <w:rPr>
                <w:color w:val="000000"/>
                <w:sz w:val="24"/>
                <w:szCs w:val="24"/>
              </w:rPr>
            </w:pPr>
            <w:r>
              <w:rPr>
                <w:rFonts w:hint="eastAsia"/>
                <w:color w:val="000000"/>
                <w:sz w:val="24"/>
                <w:szCs w:val="24"/>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博物馆信息系统架构与用户权限管理体系建设情况</w:t>
            </w:r>
          </w:p>
        </w:tc>
        <w:tc>
          <w:tcPr>
            <w:tcW w:w="600" w:type="dxa"/>
            <w:noWrap w:val="0"/>
            <w:vAlign w:val="center"/>
          </w:tcPr>
          <w:p>
            <w:pPr>
              <w:jc w:val="center"/>
              <w:rPr>
                <w:color w:val="000000"/>
                <w:sz w:val="24"/>
                <w:szCs w:val="24"/>
              </w:rPr>
            </w:pPr>
            <w:r>
              <w:rPr>
                <w:rFonts w:hint="eastAsia"/>
                <w:color w:val="000000"/>
                <w:sz w:val="24"/>
                <w:szCs w:val="24"/>
              </w:rPr>
              <w:t>5</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博物馆信息安全保护、数据资源管理制度制订和执行情况</w:t>
            </w:r>
          </w:p>
        </w:tc>
        <w:tc>
          <w:tcPr>
            <w:tcW w:w="600" w:type="dxa"/>
            <w:noWrap w:val="0"/>
            <w:vAlign w:val="center"/>
          </w:tcPr>
          <w:p>
            <w:pPr>
              <w:jc w:val="center"/>
              <w:rPr>
                <w:color w:val="000000"/>
                <w:sz w:val="24"/>
                <w:szCs w:val="24"/>
              </w:rPr>
            </w:pPr>
            <w:r>
              <w:rPr>
                <w:rFonts w:hint="eastAsia"/>
                <w:color w:val="000000"/>
                <w:sz w:val="24"/>
                <w:szCs w:val="24"/>
              </w:rPr>
              <w:t>5</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博物馆信息安全管理人员配备和日常工作情况</w:t>
            </w:r>
          </w:p>
        </w:tc>
        <w:tc>
          <w:tcPr>
            <w:tcW w:w="600" w:type="dxa"/>
            <w:noWrap w:val="0"/>
            <w:vAlign w:val="center"/>
          </w:tcPr>
          <w:p>
            <w:pPr>
              <w:jc w:val="center"/>
              <w:rPr>
                <w:color w:val="000000"/>
                <w:sz w:val="24"/>
                <w:szCs w:val="24"/>
              </w:rPr>
            </w:pPr>
            <w:r>
              <w:rPr>
                <w:rFonts w:hint="eastAsia"/>
                <w:color w:val="000000"/>
                <w:sz w:val="24"/>
                <w:szCs w:val="24"/>
              </w:rPr>
              <w:t>4</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参照GB/T 22239-2019及相关标准有关要求，落实信息系统安全等级保护有关情况</w:t>
            </w:r>
          </w:p>
        </w:tc>
        <w:tc>
          <w:tcPr>
            <w:tcW w:w="600" w:type="dxa"/>
            <w:noWrap w:val="0"/>
            <w:vAlign w:val="center"/>
          </w:tcPr>
          <w:p>
            <w:pPr>
              <w:jc w:val="center"/>
              <w:rPr>
                <w:color w:val="000000"/>
                <w:sz w:val="24"/>
                <w:szCs w:val="24"/>
              </w:rPr>
            </w:pPr>
            <w:r>
              <w:rPr>
                <w:rFonts w:hint="eastAsia"/>
                <w:color w:val="000000"/>
                <w:sz w:val="24"/>
                <w:szCs w:val="24"/>
              </w:rPr>
              <w:t>4</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定量评估指标（原始分100分）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安保人员数（基础分：1人/分）</w:t>
            </w:r>
          </w:p>
        </w:tc>
        <w:tc>
          <w:tcPr>
            <w:tcW w:w="600" w:type="dxa"/>
            <w:noWrap w:val="0"/>
            <w:vAlign w:val="center"/>
          </w:tcPr>
          <w:p>
            <w:pPr>
              <w:jc w:val="center"/>
              <w:rPr>
                <w:color w:val="000000"/>
                <w:sz w:val="24"/>
                <w:szCs w:val="24"/>
              </w:rPr>
            </w:pPr>
            <w:r>
              <w:rPr>
                <w:rFonts w:hint="eastAsia"/>
                <w:color w:val="000000"/>
                <w:sz w:val="24"/>
                <w:szCs w:val="24"/>
              </w:rPr>
              <w:t>60</w:t>
            </w:r>
          </w:p>
        </w:tc>
        <w:tc>
          <w:tcPr>
            <w:tcW w:w="636" w:type="dxa"/>
            <w:noWrap w:val="0"/>
            <w:vAlign w:val="center"/>
          </w:tcPr>
          <w:p>
            <w:pPr>
              <w:jc w:val="center"/>
              <w:rPr>
                <w:color w:val="000000"/>
                <w:sz w:val="24"/>
                <w:szCs w:val="24"/>
              </w:rPr>
            </w:pPr>
            <w:r>
              <w:rPr>
                <w:rFonts w:hint="eastAsia"/>
                <w:color w:val="000000"/>
                <w:sz w:val="24"/>
                <w:szCs w:val="24"/>
              </w:rPr>
              <w:t>60</w:t>
            </w:r>
          </w:p>
        </w:tc>
        <w:tc>
          <w:tcPr>
            <w:tcW w:w="545" w:type="dxa"/>
            <w:noWrap w:val="0"/>
            <w:vAlign w:val="center"/>
          </w:tcPr>
          <w:p>
            <w:pPr>
              <w:jc w:val="center"/>
              <w:rPr>
                <w:color w:val="000000"/>
                <w:sz w:val="24"/>
                <w:szCs w:val="24"/>
              </w:rPr>
            </w:pPr>
            <w:r>
              <w:rPr>
                <w:rFonts w:hint="eastAsia"/>
                <w:color w:val="000000"/>
                <w:sz w:val="24"/>
                <w:szCs w:val="24"/>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安全演练次数（基础分：1次/分）</w:t>
            </w:r>
          </w:p>
        </w:tc>
        <w:tc>
          <w:tcPr>
            <w:tcW w:w="600" w:type="dxa"/>
            <w:noWrap w:val="0"/>
            <w:vAlign w:val="center"/>
          </w:tcPr>
          <w:p>
            <w:pPr>
              <w:jc w:val="center"/>
              <w:rPr>
                <w:color w:val="000000"/>
                <w:sz w:val="24"/>
                <w:szCs w:val="24"/>
              </w:rPr>
            </w:pPr>
            <w:r>
              <w:rPr>
                <w:rFonts w:hint="eastAsia"/>
                <w:color w:val="000000"/>
                <w:sz w:val="24"/>
                <w:szCs w:val="24"/>
              </w:rPr>
              <w:t>40</w:t>
            </w:r>
          </w:p>
        </w:tc>
        <w:tc>
          <w:tcPr>
            <w:tcW w:w="636" w:type="dxa"/>
            <w:noWrap w:val="0"/>
            <w:vAlign w:val="center"/>
          </w:tcPr>
          <w:p>
            <w:pPr>
              <w:jc w:val="center"/>
              <w:rPr>
                <w:color w:val="000000"/>
                <w:sz w:val="24"/>
                <w:szCs w:val="24"/>
              </w:rPr>
            </w:pPr>
            <w:r>
              <w:rPr>
                <w:rFonts w:hint="eastAsia"/>
                <w:color w:val="000000"/>
                <w:sz w:val="24"/>
                <w:szCs w:val="24"/>
              </w:rPr>
              <w:t>40</w:t>
            </w:r>
          </w:p>
        </w:tc>
        <w:tc>
          <w:tcPr>
            <w:tcW w:w="545" w:type="dxa"/>
            <w:noWrap w:val="0"/>
            <w:vAlign w:val="center"/>
          </w:tcPr>
          <w:p>
            <w:pPr>
              <w:jc w:val="center"/>
              <w:rPr>
                <w:color w:val="000000"/>
                <w:sz w:val="24"/>
                <w:szCs w:val="24"/>
              </w:rPr>
            </w:pPr>
            <w:r>
              <w:rPr>
                <w:rFonts w:hint="eastAsia"/>
                <w:color w:val="000000"/>
                <w:sz w:val="24"/>
                <w:szCs w:val="24"/>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867" w:type="dxa"/>
            <w:noWrap w:val="0"/>
            <w:vAlign w:val="center"/>
          </w:tcPr>
          <w:p>
            <w:pPr>
              <w:jc w:val="left"/>
              <w:rPr>
                <w:b/>
                <w:bCs/>
                <w:color w:val="000000"/>
                <w:sz w:val="24"/>
                <w:szCs w:val="24"/>
              </w:rPr>
            </w:pPr>
            <w:r>
              <w:rPr>
                <w:rFonts w:hint="eastAsia"/>
                <w:b/>
                <w:bCs/>
                <w:color w:val="000000"/>
                <w:sz w:val="24"/>
                <w:szCs w:val="24"/>
              </w:rPr>
              <w:t>2</w:t>
            </w:r>
          </w:p>
        </w:tc>
        <w:tc>
          <w:tcPr>
            <w:tcW w:w="1230" w:type="dxa"/>
            <w:noWrap w:val="0"/>
            <w:vAlign w:val="center"/>
          </w:tcPr>
          <w:p>
            <w:pPr>
              <w:jc w:val="center"/>
              <w:rPr>
                <w:b/>
                <w:bCs/>
                <w:color w:val="000000"/>
                <w:sz w:val="24"/>
                <w:szCs w:val="24"/>
              </w:rPr>
            </w:pPr>
            <w:r>
              <w:rPr>
                <w:rFonts w:hint="eastAsia"/>
                <w:b/>
                <w:bCs/>
                <w:color w:val="000000"/>
                <w:sz w:val="24"/>
                <w:szCs w:val="24"/>
              </w:rPr>
              <w:t>一级指标</w:t>
            </w:r>
          </w:p>
        </w:tc>
        <w:tc>
          <w:tcPr>
            <w:tcW w:w="4644" w:type="dxa"/>
            <w:noWrap w:val="0"/>
            <w:vAlign w:val="center"/>
          </w:tcPr>
          <w:p>
            <w:pPr>
              <w:jc w:val="left"/>
              <w:rPr>
                <w:b/>
                <w:bCs/>
                <w:color w:val="000000"/>
                <w:sz w:val="24"/>
                <w:szCs w:val="24"/>
              </w:rPr>
            </w:pPr>
            <w:r>
              <w:rPr>
                <w:rFonts w:hint="eastAsia"/>
                <w:b/>
                <w:bCs/>
                <w:color w:val="000000"/>
                <w:sz w:val="24"/>
                <w:szCs w:val="24"/>
              </w:rPr>
              <w:t>服务产出</w:t>
            </w:r>
          </w:p>
        </w:tc>
        <w:tc>
          <w:tcPr>
            <w:tcW w:w="1781" w:type="dxa"/>
            <w:gridSpan w:val="3"/>
            <w:noWrap w:val="0"/>
            <w:vAlign w:val="center"/>
          </w:tcPr>
          <w:p>
            <w:pPr>
              <w:jc w:val="center"/>
              <w:rPr>
                <w:b/>
                <w:bCs/>
                <w:color w:val="000000"/>
                <w:sz w:val="24"/>
                <w:szCs w:val="24"/>
              </w:rPr>
            </w:pPr>
            <w:r>
              <w:rPr>
                <w:rFonts w:hint="eastAsia"/>
                <w:b/>
                <w:bCs/>
                <w:color w:val="000000"/>
                <w:sz w:val="24"/>
                <w:szCs w:val="24"/>
              </w:rPr>
              <w:t>指标权重55%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2.1</w:t>
            </w:r>
          </w:p>
        </w:tc>
        <w:tc>
          <w:tcPr>
            <w:tcW w:w="1230" w:type="dxa"/>
            <w:noWrap w:val="0"/>
            <w:vAlign w:val="center"/>
          </w:tcPr>
          <w:p>
            <w:pPr>
              <w:jc w:val="center"/>
              <w:rPr>
                <w:color w:val="000000"/>
                <w:sz w:val="24"/>
                <w:szCs w:val="24"/>
              </w:rPr>
            </w:pPr>
            <w:r>
              <w:rPr>
                <w:rFonts w:hint="eastAsia"/>
                <w:color w:val="000000"/>
                <w:sz w:val="24"/>
                <w:szCs w:val="24"/>
              </w:rPr>
              <w:t>二级指标</w:t>
            </w:r>
          </w:p>
        </w:tc>
        <w:tc>
          <w:tcPr>
            <w:tcW w:w="4644" w:type="dxa"/>
            <w:noWrap w:val="0"/>
            <w:vAlign w:val="center"/>
          </w:tcPr>
          <w:p>
            <w:pPr>
              <w:jc w:val="left"/>
              <w:rPr>
                <w:color w:val="000000"/>
                <w:sz w:val="24"/>
                <w:szCs w:val="24"/>
              </w:rPr>
            </w:pPr>
            <w:r>
              <w:rPr>
                <w:rFonts w:hint="eastAsia"/>
                <w:color w:val="000000"/>
                <w:sz w:val="24"/>
                <w:szCs w:val="24"/>
              </w:rPr>
              <w:t>科学研究</w:t>
            </w:r>
          </w:p>
        </w:tc>
        <w:tc>
          <w:tcPr>
            <w:tcW w:w="1781" w:type="dxa"/>
            <w:gridSpan w:val="3"/>
            <w:noWrap w:val="0"/>
            <w:vAlign w:val="center"/>
          </w:tcPr>
          <w:p>
            <w:pPr>
              <w:jc w:val="center"/>
              <w:rPr>
                <w:color w:val="000000"/>
                <w:sz w:val="24"/>
                <w:szCs w:val="24"/>
              </w:rPr>
            </w:pPr>
            <w:r>
              <w:rPr>
                <w:rFonts w:hint="eastAsia"/>
                <w:color w:val="000000"/>
                <w:sz w:val="24"/>
                <w:szCs w:val="24"/>
              </w:rPr>
              <w:t>指标权重15%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定性评估指标（原始分100分）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2.1.1</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科研产出</w:t>
            </w:r>
          </w:p>
        </w:tc>
        <w:tc>
          <w:tcPr>
            <w:tcW w:w="600" w:type="dxa"/>
            <w:noWrap w:val="0"/>
            <w:vAlign w:val="center"/>
          </w:tcPr>
          <w:p>
            <w:pPr>
              <w:jc w:val="center"/>
              <w:rPr>
                <w:color w:val="000000"/>
                <w:sz w:val="24"/>
                <w:szCs w:val="24"/>
              </w:rPr>
            </w:pPr>
            <w:r>
              <w:rPr>
                <w:rFonts w:hint="eastAsia"/>
                <w:color w:val="000000"/>
                <w:sz w:val="24"/>
                <w:szCs w:val="24"/>
              </w:rPr>
              <w:t>75</w:t>
            </w:r>
          </w:p>
        </w:tc>
        <w:tc>
          <w:tcPr>
            <w:tcW w:w="636" w:type="dxa"/>
            <w:noWrap w:val="0"/>
            <w:vAlign w:val="center"/>
          </w:tcPr>
          <w:p>
            <w:pPr>
              <w:jc w:val="center"/>
              <w:rPr>
                <w:color w:val="000000"/>
                <w:sz w:val="24"/>
                <w:szCs w:val="24"/>
              </w:rPr>
            </w:pPr>
            <w:r>
              <w:rPr>
                <w:rFonts w:hint="eastAsia"/>
                <w:color w:val="000000"/>
                <w:sz w:val="24"/>
                <w:szCs w:val="24"/>
              </w:rPr>
              <w:t>58</w:t>
            </w:r>
          </w:p>
        </w:tc>
        <w:tc>
          <w:tcPr>
            <w:tcW w:w="545" w:type="dxa"/>
            <w:noWrap w:val="0"/>
            <w:vAlign w:val="center"/>
          </w:tcPr>
          <w:p>
            <w:pPr>
              <w:jc w:val="center"/>
              <w:rPr>
                <w:color w:val="000000"/>
                <w:sz w:val="24"/>
                <w:szCs w:val="24"/>
              </w:rPr>
            </w:pPr>
            <w:r>
              <w:rPr>
                <w:rFonts w:hint="eastAsia"/>
                <w:color w:val="000000"/>
                <w:sz w:val="24"/>
                <w:szCs w:val="24"/>
              </w:rPr>
              <w:t>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博物馆在科学研究、学术研究方面综合实力，以及开展科研活动和取得成果（</w:t>
            </w:r>
            <w:r>
              <w:rPr>
                <w:rFonts w:hint="eastAsia"/>
                <w:color w:val="000000"/>
                <w:sz w:val="24"/>
                <w:szCs w:val="24"/>
                <w:lang w:val="en-US" w:eastAsia="zh-CN"/>
              </w:rPr>
              <w:t>包括但不限于：</w:t>
            </w:r>
            <w:r>
              <w:rPr>
                <w:rFonts w:hint="eastAsia"/>
                <w:color w:val="000000"/>
                <w:sz w:val="24"/>
                <w:szCs w:val="24"/>
              </w:rPr>
              <w:t>发表学术论文、出版学术专著、承担科研项目、考古发掘项目、课题、获得专利、参与制订标准）的总体水平</w:t>
            </w:r>
          </w:p>
        </w:tc>
        <w:tc>
          <w:tcPr>
            <w:tcW w:w="600" w:type="dxa"/>
            <w:noWrap w:val="0"/>
            <w:vAlign w:val="center"/>
          </w:tcPr>
          <w:p>
            <w:pPr>
              <w:jc w:val="center"/>
              <w:rPr>
                <w:color w:val="000000"/>
                <w:sz w:val="24"/>
                <w:szCs w:val="24"/>
              </w:rPr>
            </w:pPr>
            <w:r>
              <w:rPr>
                <w:rFonts w:hint="eastAsia"/>
                <w:color w:val="000000"/>
                <w:sz w:val="24"/>
                <w:szCs w:val="24"/>
              </w:rPr>
              <w:t>37</w:t>
            </w:r>
          </w:p>
        </w:tc>
        <w:tc>
          <w:tcPr>
            <w:tcW w:w="636" w:type="dxa"/>
            <w:noWrap w:val="0"/>
            <w:vAlign w:val="center"/>
          </w:tcPr>
          <w:p>
            <w:pPr>
              <w:jc w:val="center"/>
              <w:rPr>
                <w:color w:val="000000"/>
                <w:sz w:val="24"/>
                <w:szCs w:val="24"/>
              </w:rPr>
            </w:pPr>
            <w:r>
              <w:rPr>
                <w:rFonts w:hint="eastAsia"/>
                <w:color w:val="000000"/>
                <w:sz w:val="24"/>
                <w:szCs w:val="24"/>
              </w:rPr>
              <w:t>30</w:t>
            </w:r>
          </w:p>
        </w:tc>
        <w:tc>
          <w:tcPr>
            <w:tcW w:w="545" w:type="dxa"/>
            <w:noWrap w:val="0"/>
            <w:vAlign w:val="center"/>
          </w:tcPr>
          <w:p>
            <w:pPr>
              <w:jc w:val="center"/>
              <w:rPr>
                <w:color w:val="000000"/>
                <w:sz w:val="24"/>
                <w:szCs w:val="24"/>
              </w:rPr>
            </w:pPr>
            <w:r>
              <w:rPr>
                <w:rFonts w:hint="eastAsia"/>
                <w:color w:val="000000"/>
                <w:sz w:val="24"/>
                <w:szCs w:val="24"/>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代表性研究成果的学术价值、应用价值、创新价值情况</w:t>
            </w:r>
          </w:p>
        </w:tc>
        <w:tc>
          <w:tcPr>
            <w:tcW w:w="600" w:type="dxa"/>
            <w:noWrap w:val="0"/>
            <w:vAlign w:val="center"/>
          </w:tcPr>
          <w:p>
            <w:pPr>
              <w:jc w:val="center"/>
              <w:rPr>
                <w:color w:val="000000"/>
                <w:sz w:val="24"/>
                <w:szCs w:val="24"/>
              </w:rPr>
            </w:pPr>
            <w:r>
              <w:rPr>
                <w:rFonts w:hint="eastAsia"/>
                <w:color w:val="000000"/>
                <w:sz w:val="24"/>
                <w:szCs w:val="24"/>
              </w:rPr>
              <w:t>20</w:t>
            </w:r>
          </w:p>
        </w:tc>
        <w:tc>
          <w:tcPr>
            <w:tcW w:w="636" w:type="dxa"/>
            <w:noWrap w:val="0"/>
            <w:vAlign w:val="center"/>
          </w:tcPr>
          <w:p>
            <w:pPr>
              <w:jc w:val="center"/>
              <w:rPr>
                <w:color w:val="000000"/>
                <w:sz w:val="24"/>
                <w:szCs w:val="24"/>
              </w:rPr>
            </w:pPr>
            <w:r>
              <w:rPr>
                <w:rFonts w:hint="eastAsia"/>
                <w:color w:val="000000"/>
                <w:sz w:val="24"/>
                <w:szCs w:val="24"/>
              </w:rPr>
              <w:t>16</w:t>
            </w:r>
          </w:p>
        </w:tc>
        <w:tc>
          <w:tcPr>
            <w:tcW w:w="545" w:type="dxa"/>
            <w:noWrap w:val="0"/>
            <w:vAlign w:val="center"/>
          </w:tcPr>
          <w:p>
            <w:pPr>
              <w:jc w:val="center"/>
              <w:rPr>
                <w:color w:val="000000"/>
                <w:sz w:val="24"/>
                <w:szCs w:val="24"/>
              </w:rPr>
            </w:pPr>
            <w:r>
              <w:rPr>
                <w:rFonts w:hint="eastAsia"/>
                <w:color w:val="000000"/>
                <w:sz w:val="24"/>
                <w:szCs w:val="24"/>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代表性研究成果影响力和获奖情况</w:t>
            </w:r>
          </w:p>
        </w:tc>
        <w:tc>
          <w:tcPr>
            <w:tcW w:w="600" w:type="dxa"/>
            <w:noWrap w:val="0"/>
            <w:vAlign w:val="center"/>
          </w:tcPr>
          <w:p>
            <w:pPr>
              <w:jc w:val="center"/>
              <w:rPr>
                <w:color w:val="000000"/>
                <w:sz w:val="24"/>
                <w:szCs w:val="24"/>
              </w:rPr>
            </w:pPr>
            <w:r>
              <w:rPr>
                <w:rFonts w:hint="eastAsia"/>
                <w:color w:val="000000"/>
                <w:sz w:val="24"/>
                <w:szCs w:val="24"/>
              </w:rPr>
              <w:t>18</w:t>
            </w:r>
          </w:p>
        </w:tc>
        <w:tc>
          <w:tcPr>
            <w:tcW w:w="636" w:type="dxa"/>
            <w:noWrap w:val="0"/>
            <w:vAlign w:val="center"/>
          </w:tcPr>
          <w:p>
            <w:pPr>
              <w:jc w:val="center"/>
              <w:rPr>
                <w:color w:val="000000"/>
                <w:sz w:val="24"/>
                <w:szCs w:val="24"/>
              </w:rPr>
            </w:pPr>
            <w:r>
              <w:rPr>
                <w:rFonts w:hint="eastAsia"/>
                <w:color w:val="000000"/>
                <w:sz w:val="24"/>
                <w:szCs w:val="24"/>
              </w:rPr>
              <w:t>12</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2.1.2</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科研服务</w:t>
            </w:r>
          </w:p>
        </w:tc>
        <w:tc>
          <w:tcPr>
            <w:tcW w:w="600" w:type="dxa"/>
            <w:noWrap w:val="0"/>
            <w:vAlign w:val="center"/>
          </w:tcPr>
          <w:p>
            <w:pPr>
              <w:jc w:val="center"/>
              <w:rPr>
                <w:color w:val="000000"/>
                <w:sz w:val="24"/>
                <w:szCs w:val="24"/>
              </w:rPr>
            </w:pPr>
            <w:r>
              <w:rPr>
                <w:rFonts w:hint="eastAsia"/>
                <w:color w:val="000000"/>
                <w:sz w:val="24"/>
                <w:szCs w:val="24"/>
              </w:rPr>
              <w:t>25</w:t>
            </w:r>
          </w:p>
        </w:tc>
        <w:tc>
          <w:tcPr>
            <w:tcW w:w="636" w:type="dxa"/>
            <w:noWrap w:val="0"/>
            <w:vAlign w:val="center"/>
          </w:tcPr>
          <w:p>
            <w:pPr>
              <w:jc w:val="center"/>
              <w:rPr>
                <w:color w:val="000000"/>
                <w:sz w:val="24"/>
                <w:szCs w:val="24"/>
              </w:rPr>
            </w:pPr>
            <w:r>
              <w:rPr>
                <w:rFonts w:hint="eastAsia"/>
                <w:color w:val="000000"/>
                <w:sz w:val="24"/>
                <w:szCs w:val="24"/>
              </w:rPr>
              <w:t>42</w:t>
            </w:r>
          </w:p>
        </w:tc>
        <w:tc>
          <w:tcPr>
            <w:tcW w:w="545" w:type="dxa"/>
            <w:noWrap w:val="0"/>
            <w:vAlign w:val="center"/>
          </w:tcPr>
          <w:p>
            <w:pPr>
              <w:jc w:val="center"/>
              <w:rPr>
                <w:color w:val="000000"/>
                <w:sz w:val="24"/>
                <w:szCs w:val="24"/>
              </w:rPr>
            </w:pPr>
            <w:r>
              <w:rPr>
                <w:rFonts w:hint="eastAsia"/>
                <w:color w:val="000000"/>
                <w:sz w:val="24"/>
                <w:szCs w:val="24"/>
              </w:rPr>
              <w:t>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面向其他博物馆、高等学校、科研院所开放藏品和学术研究资料，为专业研究者提供研究便利的情况</w:t>
            </w:r>
          </w:p>
        </w:tc>
        <w:tc>
          <w:tcPr>
            <w:tcW w:w="600" w:type="dxa"/>
            <w:noWrap w:val="0"/>
            <w:vAlign w:val="center"/>
          </w:tcPr>
          <w:p>
            <w:pPr>
              <w:jc w:val="center"/>
              <w:rPr>
                <w:color w:val="000000"/>
                <w:sz w:val="24"/>
                <w:szCs w:val="24"/>
              </w:rPr>
            </w:pPr>
            <w:r>
              <w:rPr>
                <w:rFonts w:hint="eastAsia"/>
                <w:color w:val="000000"/>
                <w:sz w:val="24"/>
                <w:szCs w:val="24"/>
              </w:rPr>
              <w:t>11</w:t>
            </w:r>
          </w:p>
        </w:tc>
        <w:tc>
          <w:tcPr>
            <w:tcW w:w="636" w:type="dxa"/>
            <w:noWrap w:val="0"/>
            <w:vAlign w:val="center"/>
          </w:tcPr>
          <w:p>
            <w:pPr>
              <w:jc w:val="center"/>
              <w:rPr>
                <w:color w:val="000000"/>
                <w:sz w:val="24"/>
                <w:szCs w:val="24"/>
              </w:rPr>
            </w:pPr>
            <w:r>
              <w:rPr>
                <w:rFonts w:hint="eastAsia"/>
                <w:color w:val="000000"/>
                <w:sz w:val="24"/>
                <w:szCs w:val="24"/>
              </w:rPr>
              <w:t>18</w:t>
            </w:r>
          </w:p>
        </w:tc>
        <w:tc>
          <w:tcPr>
            <w:tcW w:w="545" w:type="dxa"/>
            <w:noWrap w:val="0"/>
            <w:vAlign w:val="center"/>
          </w:tcPr>
          <w:p>
            <w:pPr>
              <w:jc w:val="center"/>
              <w:rPr>
                <w:color w:val="000000"/>
                <w:sz w:val="24"/>
                <w:szCs w:val="24"/>
              </w:rPr>
            </w:pPr>
            <w:r>
              <w:rPr>
                <w:rFonts w:hint="eastAsia"/>
                <w:color w:val="000000"/>
                <w:sz w:val="24"/>
                <w:szCs w:val="24"/>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博物馆发挥本馆藏品、学术资源优势，与高等学校、科研院所等单位合作开展学术研究、承担科研项目、考古发掘项目、举办学术活动的情况</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12</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与高等学校、科研院所联合建立、运营实验室、研究室、科研基地、科研工作站的情况</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12</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定量评估指标（原始分100分）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科研项目数（基础分：1项/分）</w:t>
            </w:r>
          </w:p>
        </w:tc>
        <w:tc>
          <w:tcPr>
            <w:tcW w:w="600" w:type="dxa"/>
            <w:noWrap w:val="0"/>
            <w:vAlign w:val="center"/>
          </w:tcPr>
          <w:p>
            <w:pPr>
              <w:jc w:val="center"/>
              <w:rPr>
                <w:color w:val="000000"/>
                <w:sz w:val="24"/>
                <w:szCs w:val="24"/>
              </w:rPr>
            </w:pPr>
            <w:r>
              <w:rPr>
                <w:rFonts w:hint="eastAsia"/>
                <w:color w:val="000000"/>
                <w:sz w:val="24"/>
                <w:szCs w:val="24"/>
              </w:rPr>
              <w:t>20</w:t>
            </w:r>
          </w:p>
        </w:tc>
        <w:tc>
          <w:tcPr>
            <w:tcW w:w="636" w:type="dxa"/>
            <w:noWrap w:val="0"/>
            <w:vAlign w:val="center"/>
          </w:tcPr>
          <w:p>
            <w:pPr>
              <w:jc w:val="center"/>
              <w:rPr>
                <w:color w:val="000000"/>
                <w:sz w:val="24"/>
                <w:szCs w:val="24"/>
              </w:rPr>
            </w:pPr>
            <w:r>
              <w:rPr>
                <w:rFonts w:hint="eastAsia"/>
                <w:color w:val="000000"/>
                <w:sz w:val="24"/>
                <w:szCs w:val="24"/>
              </w:rPr>
              <w:t>20</w:t>
            </w:r>
          </w:p>
        </w:tc>
        <w:tc>
          <w:tcPr>
            <w:tcW w:w="545" w:type="dxa"/>
            <w:noWrap w:val="0"/>
            <w:vAlign w:val="center"/>
          </w:tcPr>
          <w:p>
            <w:pPr>
              <w:jc w:val="center"/>
              <w:rPr>
                <w:color w:val="000000"/>
                <w:sz w:val="24"/>
                <w:szCs w:val="24"/>
              </w:rPr>
            </w:pPr>
            <w:r>
              <w:rPr>
                <w:rFonts w:hint="eastAsia"/>
                <w:color w:val="000000"/>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省部级（含）以上研究项目（基础分：1项/分）</w:t>
            </w:r>
          </w:p>
        </w:tc>
        <w:tc>
          <w:tcPr>
            <w:tcW w:w="600" w:type="dxa"/>
            <w:noWrap w:val="0"/>
            <w:vAlign w:val="center"/>
          </w:tcPr>
          <w:p>
            <w:pPr>
              <w:jc w:val="center"/>
              <w:rPr>
                <w:color w:val="000000"/>
                <w:sz w:val="24"/>
                <w:szCs w:val="24"/>
              </w:rPr>
            </w:pPr>
            <w:r>
              <w:rPr>
                <w:rFonts w:hint="eastAsia"/>
                <w:color w:val="000000"/>
                <w:sz w:val="24"/>
                <w:szCs w:val="24"/>
              </w:rPr>
              <w:t>20</w:t>
            </w:r>
          </w:p>
        </w:tc>
        <w:tc>
          <w:tcPr>
            <w:tcW w:w="636" w:type="dxa"/>
            <w:noWrap w:val="0"/>
            <w:vAlign w:val="center"/>
          </w:tcPr>
          <w:p>
            <w:pPr>
              <w:jc w:val="center"/>
              <w:rPr>
                <w:color w:val="000000"/>
                <w:sz w:val="24"/>
                <w:szCs w:val="24"/>
              </w:rPr>
            </w:pPr>
            <w:r>
              <w:rPr>
                <w:rFonts w:hint="eastAsia"/>
                <w:color w:val="000000"/>
                <w:sz w:val="24"/>
                <w:szCs w:val="24"/>
              </w:rPr>
              <w:t>20</w:t>
            </w:r>
          </w:p>
        </w:tc>
        <w:tc>
          <w:tcPr>
            <w:tcW w:w="545" w:type="dxa"/>
            <w:noWrap w:val="0"/>
            <w:vAlign w:val="center"/>
          </w:tcPr>
          <w:p>
            <w:pPr>
              <w:jc w:val="center"/>
              <w:rPr>
                <w:color w:val="000000"/>
                <w:sz w:val="24"/>
                <w:szCs w:val="24"/>
              </w:rPr>
            </w:pPr>
            <w:r>
              <w:rPr>
                <w:rFonts w:hint="eastAsia"/>
                <w:color w:val="000000"/>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出版物数（基础分：1册/分）</w:t>
            </w:r>
          </w:p>
        </w:tc>
        <w:tc>
          <w:tcPr>
            <w:tcW w:w="600" w:type="dxa"/>
            <w:noWrap w:val="0"/>
            <w:vAlign w:val="center"/>
          </w:tcPr>
          <w:p>
            <w:pPr>
              <w:jc w:val="center"/>
              <w:rPr>
                <w:color w:val="000000"/>
                <w:sz w:val="24"/>
                <w:szCs w:val="24"/>
              </w:rPr>
            </w:pPr>
            <w:r>
              <w:rPr>
                <w:rFonts w:hint="eastAsia"/>
                <w:color w:val="000000"/>
                <w:sz w:val="24"/>
                <w:szCs w:val="24"/>
              </w:rPr>
              <w:t>20</w:t>
            </w:r>
          </w:p>
        </w:tc>
        <w:tc>
          <w:tcPr>
            <w:tcW w:w="636" w:type="dxa"/>
            <w:noWrap w:val="0"/>
            <w:vAlign w:val="center"/>
          </w:tcPr>
          <w:p>
            <w:pPr>
              <w:jc w:val="center"/>
              <w:rPr>
                <w:color w:val="000000"/>
                <w:sz w:val="24"/>
                <w:szCs w:val="24"/>
              </w:rPr>
            </w:pPr>
            <w:r>
              <w:rPr>
                <w:rFonts w:hint="eastAsia"/>
                <w:color w:val="000000"/>
                <w:sz w:val="24"/>
                <w:szCs w:val="24"/>
              </w:rPr>
              <w:t>20</w:t>
            </w:r>
          </w:p>
        </w:tc>
        <w:tc>
          <w:tcPr>
            <w:tcW w:w="545" w:type="dxa"/>
            <w:noWrap w:val="0"/>
            <w:vAlign w:val="center"/>
          </w:tcPr>
          <w:p>
            <w:pPr>
              <w:jc w:val="center"/>
              <w:rPr>
                <w:color w:val="000000"/>
                <w:sz w:val="24"/>
                <w:szCs w:val="24"/>
              </w:rPr>
            </w:pPr>
            <w:r>
              <w:rPr>
                <w:rFonts w:hint="eastAsia"/>
                <w:color w:val="000000"/>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发表论文数（基础分：1篇/分）</w:t>
            </w:r>
          </w:p>
        </w:tc>
        <w:tc>
          <w:tcPr>
            <w:tcW w:w="600" w:type="dxa"/>
            <w:noWrap w:val="0"/>
            <w:vAlign w:val="center"/>
          </w:tcPr>
          <w:p>
            <w:pPr>
              <w:jc w:val="center"/>
              <w:rPr>
                <w:color w:val="000000"/>
                <w:sz w:val="24"/>
                <w:szCs w:val="24"/>
              </w:rPr>
            </w:pPr>
            <w:r>
              <w:rPr>
                <w:rFonts w:hint="eastAsia"/>
                <w:color w:val="000000"/>
                <w:sz w:val="24"/>
                <w:szCs w:val="24"/>
              </w:rPr>
              <w:t>20</w:t>
            </w:r>
          </w:p>
        </w:tc>
        <w:tc>
          <w:tcPr>
            <w:tcW w:w="636" w:type="dxa"/>
            <w:noWrap w:val="0"/>
            <w:vAlign w:val="center"/>
          </w:tcPr>
          <w:p>
            <w:pPr>
              <w:jc w:val="center"/>
              <w:rPr>
                <w:color w:val="000000"/>
                <w:sz w:val="24"/>
                <w:szCs w:val="24"/>
              </w:rPr>
            </w:pPr>
            <w:r>
              <w:rPr>
                <w:rFonts w:hint="eastAsia"/>
                <w:color w:val="000000"/>
                <w:sz w:val="24"/>
                <w:szCs w:val="24"/>
              </w:rPr>
              <w:t>20</w:t>
            </w:r>
          </w:p>
        </w:tc>
        <w:tc>
          <w:tcPr>
            <w:tcW w:w="545" w:type="dxa"/>
            <w:noWrap w:val="0"/>
            <w:vAlign w:val="center"/>
          </w:tcPr>
          <w:p>
            <w:pPr>
              <w:jc w:val="center"/>
              <w:rPr>
                <w:color w:val="000000"/>
                <w:sz w:val="24"/>
                <w:szCs w:val="24"/>
              </w:rPr>
            </w:pPr>
            <w:r>
              <w:rPr>
                <w:rFonts w:hint="eastAsia"/>
                <w:color w:val="000000"/>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获得专利数（基础分：1项/分）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参与编制标准数（基础分：1项/分）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2.2</w:t>
            </w:r>
          </w:p>
        </w:tc>
        <w:tc>
          <w:tcPr>
            <w:tcW w:w="1230" w:type="dxa"/>
            <w:noWrap w:val="0"/>
            <w:vAlign w:val="center"/>
          </w:tcPr>
          <w:p>
            <w:pPr>
              <w:jc w:val="center"/>
              <w:rPr>
                <w:color w:val="000000"/>
                <w:sz w:val="24"/>
                <w:szCs w:val="24"/>
              </w:rPr>
            </w:pPr>
            <w:r>
              <w:rPr>
                <w:rFonts w:hint="eastAsia"/>
                <w:color w:val="000000"/>
                <w:sz w:val="24"/>
                <w:szCs w:val="24"/>
              </w:rPr>
              <w:t>二级指标</w:t>
            </w:r>
          </w:p>
        </w:tc>
        <w:tc>
          <w:tcPr>
            <w:tcW w:w="4644" w:type="dxa"/>
            <w:noWrap w:val="0"/>
            <w:vAlign w:val="center"/>
          </w:tcPr>
          <w:p>
            <w:pPr>
              <w:jc w:val="left"/>
              <w:rPr>
                <w:color w:val="000000"/>
                <w:sz w:val="24"/>
                <w:szCs w:val="24"/>
              </w:rPr>
            </w:pPr>
            <w:r>
              <w:rPr>
                <w:rFonts w:hint="eastAsia"/>
                <w:color w:val="000000"/>
                <w:sz w:val="24"/>
                <w:szCs w:val="24"/>
              </w:rPr>
              <w:t>陈列展览</w:t>
            </w:r>
          </w:p>
        </w:tc>
        <w:tc>
          <w:tcPr>
            <w:tcW w:w="1781" w:type="dxa"/>
            <w:gridSpan w:val="3"/>
            <w:noWrap w:val="0"/>
            <w:vAlign w:val="center"/>
          </w:tcPr>
          <w:p>
            <w:pPr>
              <w:jc w:val="center"/>
              <w:rPr>
                <w:color w:val="000000"/>
                <w:sz w:val="24"/>
                <w:szCs w:val="24"/>
              </w:rPr>
            </w:pPr>
            <w:r>
              <w:rPr>
                <w:rFonts w:hint="eastAsia"/>
                <w:color w:val="000000"/>
                <w:sz w:val="24"/>
                <w:szCs w:val="24"/>
              </w:rPr>
              <w:t>指标权重15%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定性评估指标（原始分100分）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2.2.1</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基本陈列</w:t>
            </w:r>
          </w:p>
        </w:tc>
        <w:tc>
          <w:tcPr>
            <w:tcW w:w="600" w:type="dxa"/>
            <w:noWrap w:val="0"/>
            <w:vAlign w:val="center"/>
          </w:tcPr>
          <w:p>
            <w:pPr>
              <w:jc w:val="center"/>
              <w:rPr>
                <w:color w:val="000000"/>
                <w:sz w:val="24"/>
                <w:szCs w:val="24"/>
              </w:rPr>
            </w:pPr>
            <w:r>
              <w:rPr>
                <w:rFonts w:hint="eastAsia"/>
                <w:color w:val="000000"/>
                <w:sz w:val="24"/>
                <w:szCs w:val="24"/>
              </w:rPr>
              <w:t>33</w:t>
            </w:r>
          </w:p>
        </w:tc>
        <w:tc>
          <w:tcPr>
            <w:tcW w:w="636" w:type="dxa"/>
            <w:noWrap w:val="0"/>
            <w:vAlign w:val="center"/>
          </w:tcPr>
          <w:p>
            <w:pPr>
              <w:jc w:val="center"/>
              <w:rPr>
                <w:color w:val="000000"/>
                <w:sz w:val="24"/>
                <w:szCs w:val="24"/>
              </w:rPr>
            </w:pPr>
            <w:r>
              <w:rPr>
                <w:rFonts w:hint="eastAsia"/>
                <w:color w:val="000000"/>
                <w:sz w:val="24"/>
                <w:szCs w:val="24"/>
              </w:rPr>
              <w:t>45</w:t>
            </w:r>
          </w:p>
        </w:tc>
        <w:tc>
          <w:tcPr>
            <w:tcW w:w="545" w:type="dxa"/>
            <w:noWrap w:val="0"/>
            <w:vAlign w:val="center"/>
          </w:tcPr>
          <w:p>
            <w:pPr>
              <w:jc w:val="center"/>
              <w:rPr>
                <w:color w:val="000000"/>
                <w:sz w:val="24"/>
                <w:szCs w:val="24"/>
              </w:rPr>
            </w:pPr>
            <w:r>
              <w:rPr>
                <w:rFonts w:hint="eastAsia"/>
                <w:color w:val="000000"/>
                <w:sz w:val="24"/>
                <w:szCs w:val="24"/>
              </w:rPr>
              <w:t>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博物馆基本陈列体系建设，以及现有基本陈列的总体质量情况</w:t>
            </w:r>
          </w:p>
        </w:tc>
        <w:tc>
          <w:tcPr>
            <w:tcW w:w="600" w:type="dxa"/>
            <w:noWrap w:val="0"/>
            <w:vAlign w:val="center"/>
          </w:tcPr>
          <w:p>
            <w:pPr>
              <w:jc w:val="center"/>
              <w:rPr>
                <w:color w:val="000000"/>
                <w:sz w:val="24"/>
                <w:szCs w:val="24"/>
              </w:rPr>
            </w:pPr>
            <w:r>
              <w:rPr>
                <w:rFonts w:hint="eastAsia"/>
                <w:color w:val="000000"/>
                <w:sz w:val="24"/>
                <w:szCs w:val="24"/>
              </w:rPr>
              <w:t>14</w:t>
            </w:r>
          </w:p>
        </w:tc>
        <w:tc>
          <w:tcPr>
            <w:tcW w:w="636" w:type="dxa"/>
            <w:noWrap w:val="0"/>
            <w:vAlign w:val="center"/>
          </w:tcPr>
          <w:p>
            <w:pPr>
              <w:jc w:val="center"/>
              <w:rPr>
                <w:color w:val="000000"/>
                <w:sz w:val="24"/>
                <w:szCs w:val="24"/>
              </w:rPr>
            </w:pPr>
            <w:r>
              <w:rPr>
                <w:rFonts w:hint="eastAsia"/>
                <w:color w:val="000000"/>
                <w:sz w:val="24"/>
                <w:szCs w:val="24"/>
              </w:rPr>
              <w:t>19</w:t>
            </w:r>
          </w:p>
        </w:tc>
        <w:tc>
          <w:tcPr>
            <w:tcW w:w="545" w:type="dxa"/>
            <w:noWrap w:val="0"/>
            <w:vAlign w:val="center"/>
          </w:tcPr>
          <w:p>
            <w:pPr>
              <w:jc w:val="center"/>
              <w:rPr>
                <w:color w:val="000000"/>
                <w:sz w:val="24"/>
                <w:szCs w:val="24"/>
              </w:rPr>
            </w:pPr>
            <w:r>
              <w:rPr>
                <w:rFonts w:hint="eastAsia"/>
                <w:color w:val="000000"/>
                <w:sz w:val="24"/>
                <w:szCs w:val="24"/>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rFonts w:hint="eastAsia" w:eastAsia="仿宋_GB2312"/>
                <w:color w:val="000000"/>
                <w:sz w:val="24"/>
                <w:szCs w:val="24"/>
                <w:lang w:eastAsia="zh-CN"/>
              </w:rPr>
            </w:pPr>
            <w:r>
              <w:rPr>
                <w:rFonts w:hint="eastAsia"/>
                <w:color w:val="000000"/>
                <w:sz w:val="24"/>
                <w:szCs w:val="24"/>
              </w:rPr>
              <w:t>基本陈列中展品、展项更新、充实的频率与幅度</w:t>
            </w:r>
            <w:r>
              <w:rPr>
                <w:rFonts w:hint="eastAsia"/>
                <w:color w:val="000000"/>
                <w:sz w:val="24"/>
                <w:szCs w:val="24"/>
                <w:lang w:eastAsia="zh-CN"/>
              </w:rPr>
              <w:t>（原状陈列不考察此项）</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13</w:t>
            </w:r>
          </w:p>
        </w:tc>
        <w:tc>
          <w:tcPr>
            <w:tcW w:w="545" w:type="dxa"/>
            <w:noWrap w:val="0"/>
            <w:vAlign w:val="center"/>
          </w:tcPr>
          <w:p>
            <w:pPr>
              <w:jc w:val="center"/>
              <w:rPr>
                <w:color w:val="000000"/>
                <w:sz w:val="24"/>
                <w:szCs w:val="24"/>
              </w:rPr>
            </w:pPr>
            <w:r>
              <w:rPr>
                <w:rFonts w:hint="eastAsia"/>
                <w:color w:val="000000"/>
                <w:sz w:val="24"/>
                <w:szCs w:val="24"/>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基本陈列文化品牌的社会认知、认可度，以及获得奖励、推介的情况</w:t>
            </w:r>
          </w:p>
        </w:tc>
        <w:tc>
          <w:tcPr>
            <w:tcW w:w="600" w:type="dxa"/>
            <w:noWrap w:val="0"/>
            <w:vAlign w:val="center"/>
          </w:tcPr>
          <w:p>
            <w:pPr>
              <w:jc w:val="center"/>
              <w:rPr>
                <w:color w:val="000000"/>
                <w:sz w:val="24"/>
                <w:szCs w:val="24"/>
              </w:rPr>
            </w:pPr>
            <w:r>
              <w:rPr>
                <w:rFonts w:hint="eastAsia"/>
                <w:color w:val="000000"/>
                <w:sz w:val="24"/>
                <w:szCs w:val="24"/>
              </w:rPr>
              <w:t>9</w:t>
            </w:r>
          </w:p>
        </w:tc>
        <w:tc>
          <w:tcPr>
            <w:tcW w:w="636" w:type="dxa"/>
            <w:noWrap w:val="0"/>
            <w:vAlign w:val="center"/>
          </w:tcPr>
          <w:p>
            <w:pPr>
              <w:jc w:val="center"/>
              <w:rPr>
                <w:color w:val="000000"/>
                <w:sz w:val="24"/>
                <w:szCs w:val="24"/>
              </w:rPr>
            </w:pPr>
            <w:r>
              <w:rPr>
                <w:rFonts w:hint="eastAsia"/>
                <w:color w:val="000000"/>
                <w:sz w:val="24"/>
                <w:szCs w:val="24"/>
              </w:rPr>
              <w:t>13</w:t>
            </w:r>
          </w:p>
        </w:tc>
        <w:tc>
          <w:tcPr>
            <w:tcW w:w="545" w:type="dxa"/>
            <w:noWrap w:val="0"/>
            <w:vAlign w:val="center"/>
          </w:tcPr>
          <w:p>
            <w:pPr>
              <w:jc w:val="center"/>
              <w:rPr>
                <w:color w:val="000000"/>
                <w:sz w:val="24"/>
                <w:szCs w:val="24"/>
              </w:rPr>
            </w:pPr>
            <w:r>
              <w:rPr>
                <w:rFonts w:hint="eastAsia"/>
                <w:color w:val="000000"/>
                <w:sz w:val="24"/>
                <w:szCs w:val="24"/>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2.2.2</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临时展览</w:t>
            </w:r>
          </w:p>
        </w:tc>
        <w:tc>
          <w:tcPr>
            <w:tcW w:w="600" w:type="dxa"/>
            <w:noWrap w:val="0"/>
            <w:vAlign w:val="center"/>
          </w:tcPr>
          <w:p>
            <w:pPr>
              <w:jc w:val="center"/>
              <w:rPr>
                <w:color w:val="000000"/>
                <w:sz w:val="24"/>
                <w:szCs w:val="24"/>
              </w:rPr>
            </w:pPr>
            <w:r>
              <w:rPr>
                <w:rFonts w:hint="eastAsia"/>
                <w:color w:val="000000"/>
                <w:sz w:val="24"/>
                <w:szCs w:val="24"/>
              </w:rPr>
              <w:t>67</w:t>
            </w:r>
          </w:p>
        </w:tc>
        <w:tc>
          <w:tcPr>
            <w:tcW w:w="636" w:type="dxa"/>
            <w:noWrap w:val="0"/>
            <w:vAlign w:val="center"/>
          </w:tcPr>
          <w:p>
            <w:pPr>
              <w:jc w:val="center"/>
              <w:rPr>
                <w:color w:val="000000"/>
                <w:sz w:val="24"/>
                <w:szCs w:val="24"/>
              </w:rPr>
            </w:pPr>
            <w:r>
              <w:rPr>
                <w:rFonts w:hint="eastAsia"/>
                <w:color w:val="000000"/>
                <w:sz w:val="24"/>
                <w:szCs w:val="24"/>
              </w:rPr>
              <w:t>55</w:t>
            </w:r>
          </w:p>
        </w:tc>
        <w:tc>
          <w:tcPr>
            <w:tcW w:w="545" w:type="dxa"/>
            <w:noWrap w:val="0"/>
            <w:vAlign w:val="center"/>
          </w:tcPr>
          <w:p>
            <w:pPr>
              <w:jc w:val="center"/>
              <w:rPr>
                <w:color w:val="000000"/>
                <w:sz w:val="24"/>
                <w:szCs w:val="24"/>
              </w:rPr>
            </w:pPr>
            <w:r>
              <w:rPr>
                <w:rFonts w:hint="eastAsia"/>
                <w:color w:val="000000"/>
                <w:sz w:val="24"/>
                <w:szCs w:val="24"/>
              </w:rPr>
              <w:t>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博物馆临时展览体系建设，以及评估周期内举办临时展览的总体质量情况</w:t>
            </w:r>
          </w:p>
        </w:tc>
        <w:tc>
          <w:tcPr>
            <w:tcW w:w="600" w:type="dxa"/>
            <w:noWrap w:val="0"/>
            <w:vAlign w:val="center"/>
          </w:tcPr>
          <w:p>
            <w:pPr>
              <w:jc w:val="center"/>
              <w:rPr>
                <w:color w:val="000000"/>
                <w:sz w:val="24"/>
                <w:szCs w:val="24"/>
              </w:rPr>
            </w:pPr>
            <w:r>
              <w:rPr>
                <w:rFonts w:hint="eastAsia"/>
                <w:color w:val="000000"/>
                <w:sz w:val="24"/>
                <w:szCs w:val="24"/>
              </w:rPr>
              <w:t>15</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代表性临时展览主题定位与博物馆</w:t>
            </w:r>
            <w:r>
              <w:rPr>
                <w:rFonts w:hint="eastAsia"/>
                <w:color w:val="000000"/>
                <w:sz w:val="24"/>
                <w:szCs w:val="24"/>
                <w:lang w:eastAsia="zh-CN"/>
              </w:rPr>
              <w:t>定位</w:t>
            </w:r>
            <w:r>
              <w:rPr>
                <w:rFonts w:hint="eastAsia"/>
                <w:color w:val="000000"/>
                <w:sz w:val="24"/>
                <w:szCs w:val="24"/>
              </w:rPr>
              <w:t>的契合程度</w:t>
            </w:r>
          </w:p>
        </w:tc>
        <w:tc>
          <w:tcPr>
            <w:tcW w:w="600" w:type="dxa"/>
            <w:noWrap w:val="0"/>
            <w:vAlign w:val="center"/>
          </w:tcPr>
          <w:p>
            <w:pPr>
              <w:jc w:val="center"/>
              <w:rPr>
                <w:color w:val="000000"/>
                <w:sz w:val="24"/>
                <w:szCs w:val="24"/>
              </w:rPr>
            </w:pPr>
            <w:r>
              <w:rPr>
                <w:rFonts w:hint="eastAsia"/>
                <w:color w:val="000000"/>
                <w:sz w:val="24"/>
                <w:szCs w:val="24"/>
              </w:rPr>
              <w:t>11</w:t>
            </w:r>
          </w:p>
        </w:tc>
        <w:tc>
          <w:tcPr>
            <w:tcW w:w="636" w:type="dxa"/>
            <w:noWrap w:val="0"/>
            <w:vAlign w:val="center"/>
          </w:tcPr>
          <w:p>
            <w:pPr>
              <w:jc w:val="center"/>
              <w:rPr>
                <w:color w:val="000000"/>
                <w:sz w:val="24"/>
                <w:szCs w:val="24"/>
              </w:rPr>
            </w:pPr>
            <w:r>
              <w:rPr>
                <w:rFonts w:hint="eastAsia"/>
                <w:color w:val="000000"/>
                <w:sz w:val="24"/>
                <w:szCs w:val="24"/>
              </w:rPr>
              <w:t>9</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代表性临时展览的内容策划水平，以及学术性、思想性情况</w:t>
            </w:r>
          </w:p>
        </w:tc>
        <w:tc>
          <w:tcPr>
            <w:tcW w:w="600" w:type="dxa"/>
            <w:noWrap w:val="0"/>
            <w:vAlign w:val="center"/>
          </w:tcPr>
          <w:p>
            <w:pPr>
              <w:jc w:val="center"/>
              <w:rPr>
                <w:color w:val="000000"/>
                <w:sz w:val="24"/>
                <w:szCs w:val="24"/>
              </w:rPr>
            </w:pPr>
            <w:r>
              <w:rPr>
                <w:rFonts w:hint="eastAsia"/>
                <w:color w:val="000000"/>
                <w:sz w:val="24"/>
                <w:szCs w:val="24"/>
              </w:rPr>
              <w:t>11</w:t>
            </w:r>
          </w:p>
        </w:tc>
        <w:tc>
          <w:tcPr>
            <w:tcW w:w="636" w:type="dxa"/>
            <w:noWrap w:val="0"/>
            <w:vAlign w:val="center"/>
          </w:tcPr>
          <w:p>
            <w:pPr>
              <w:jc w:val="center"/>
              <w:rPr>
                <w:color w:val="000000"/>
                <w:sz w:val="24"/>
                <w:szCs w:val="24"/>
              </w:rPr>
            </w:pPr>
            <w:r>
              <w:rPr>
                <w:rFonts w:hint="eastAsia"/>
                <w:color w:val="000000"/>
                <w:sz w:val="24"/>
                <w:szCs w:val="24"/>
              </w:rPr>
              <w:t>9</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代表性临时展览形式设计水平，以及陈列主题和思想内容情况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9</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代表性临时展览运用辅助展品和现代信息技术手段提升文化传播水平的情况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9</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代表性临时展览文化品牌社会认知、认可度，以及获得奖励、推介的情况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9</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定量评估指标（原始分100分）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基本陈列（含原状陈列）数（基础分：1个/分）</w:t>
            </w:r>
          </w:p>
        </w:tc>
        <w:tc>
          <w:tcPr>
            <w:tcW w:w="600" w:type="dxa"/>
            <w:noWrap w:val="0"/>
            <w:vAlign w:val="center"/>
          </w:tcPr>
          <w:p>
            <w:pPr>
              <w:jc w:val="center"/>
              <w:rPr>
                <w:color w:val="000000"/>
                <w:sz w:val="24"/>
                <w:szCs w:val="24"/>
              </w:rPr>
            </w:pPr>
            <w:r>
              <w:rPr>
                <w:rFonts w:hint="eastAsia"/>
                <w:color w:val="000000"/>
                <w:sz w:val="24"/>
                <w:szCs w:val="24"/>
              </w:rPr>
              <w:t>40</w:t>
            </w:r>
          </w:p>
        </w:tc>
        <w:tc>
          <w:tcPr>
            <w:tcW w:w="636" w:type="dxa"/>
            <w:noWrap w:val="0"/>
            <w:vAlign w:val="center"/>
          </w:tcPr>
          <w:p>
            <w:pPr>
              <w:jc w:val="center"/>
              <w:rPr>
                <w:color w:val="000000"/>
                <w:sz w:val="24"/>
                <w:szCs w:val="24"/>
              </w:rPr>
            </w:pPr>
            <w:r>
              <w:rPr>
                <w:rFonts w:hint="eastAsia"/>
                <w:color w:val="000000"/>
                <w:sz w:val="24"/>
                <w:szCs w:val="24"/>
              </w:rPr>
              <w:t>40</w:t>
            </w:r>
          </w:p>
        </w:tc>
        <w:tc>
          <w:tcPr>
            <w:tcW w:w="545" w:type="dxa"/>
            <w:noWrap w:val="0"/>
            <w:vAlign w:val="center"/>
          </w:tcPr>
          <w:p>
            <w:pPr>
              <w:jc w:val="center"/>
              <w:rPr>
                <w:color w:val="000000"/>
                <w:sz w:val="24"/>
                <w:szCs w:val="24"/>
              </w:rPr>
            </w:pPr>
            <w:r>
              <w:rPr>
                <w:rFonts w:hint="eastAsia"/>
                <w:color w:val="000000"/>
                <w:sz w:val="24"/>
                <w:szCs w:val="24"/>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馆内原创临时展览数（基础分：1个/分）</w:t>
            </w:r>
          </w:p>
        </w:tc>
        <w:tc>
          <w:tcPr>
            <w:tcW w:w="600" w:type="dxa"/>
            <w:noWrap w:val="0"/>
            <w:vAlign w:val="center"/>
          </w:tcPr>
          <w:p>
            <w:pPr>
              <w:jc w:val="center"/>
              <w:rPr>
                <w:color w:val="000000"/>
                <w:sz w:val="24"/>
                <w:szCs w:val="24"/>
              </w:rPr>
            </w:pPr>
            <w:r>
              <w:rPr>
                <w:rFonts w:hint="eastAsia"/>
                <w:color w:val="000000"/>
                <w:sz w:val="24"/>
                <w:szCs w:val="24"/>
              </w:rPr>
              <w:t>30</w:t>
            </w:r>
          </w:p>
        </w:tc>
        <w:tc>
          <w:tcPr>
            <w:tcW w:w="636" w:type="dxa"/>
            <w:noWrap w:val="0"/>
            <w:vAlign w:val="center"/>
          </w:tcPr>
          <w:p>
            <w:pPr>
              <w:jc w:val="center"/>
              <w:rPr>
                <w:color w:val="000000"/>
                <w:sz w:val="24"/>
                <w:szCs w:val="24"/>
              </w:rPr>
            </w:pPr>
            <w:r>
              <w:rPr>
                <w:rFonts w:hint="eastAsia"/>
                <w:color w:val="000000"/>
                <w:sz w:val="24"/>
                <w:szCs w:val="24"/>
              </w:rPr>
              <w:t>30</w:t>
            </w:r>
          </w:p>
        </w:tc>
        <w:tc>
          <w:tcPr>
            <w:tcW w:w="545" w:type="dxa"/>
            <w:noWrap w:val="0"/>
            <w:vAlign w:val="center"/>
          </w:tcPr>
          <w:p>
            <w:pPr>
              <w:jc w:val="center"/>
              <w:rPr>
                <w:color w:val="000000"/>
                <w:sz w:val="24"/>
                <w:szCs w:val="24"/>
              </w:rPr>
            </w:pPr>
            <w:r>
              <w:rPr>
                <w:rFonts w:hint="eastAsia"/>
                <w:color w:val="000000"/>
                <w:sz w:val="24"/>
                <w:szCs w:val="24"/>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馆际合作展览数（基础分：1个/分）</w:t>
            </w:r>
          </w:p>
        </w:tc>
        <w:tc>
          <w:tcPr>
            <w:tcW w:w="600" w:type="dxa"/>
            <w:noWrap w:val="0"/>
            <w:vAlign w:val="center"/>
          </w:tcPr>
          <w:p>
            <w:pPr>
              <w:jc w:val="center"/>
              <w:rPr>
                <w:color w:val="000000"/>
                <w:sz w:val="24"/>
                <w:szCs w:val="24"/>
              </w:rPr>
            </w:pPr>
            <w:r>
              <w:rPr>
                <w:rFonts w:hint="eastAsia"/>
                <w:color w:val="000000"/>
                <w:sz w:val="24"/>
                <w:szCs w:val="24"/>
              </w:rPr>
              <w:t>30</w:t>
            </w:r>
          </w:p>
        </w:tc>
        <w:tc>
          <w:tcPr>
            <w:tcW w:w="636" w:type="dxa"/>
            <w:noWrap w:val="0"/>
            <w:vAlign w:val="center"/>
          </w:tcPr>
          <w:p>
            <w:pPr>
              <w:jc w:val="center"/>
              <w:rPr>
                <w:color w:val="000000"/>
                <w:sz w:val="24"/>
                <w:szCs w:val="24"/>
              </w:rPr>
            </w:pPr>
            <w:r>
              <w:rPr>
                <w:rFonts w:hint="eastAsia"/>
                <w:color w:val="000000"/>
                <w:sz w:val="24"/>
                <w:szCs w:val="24"/>
              </w:rPr>
              <w:t>30</w:t>
            </w:r>
          </w:p>
        </w:tc>
        <w:tc>
          <w:tcPr>
            <w:tcW w:w="545" w:type="dxa"/>
            <w:noWrap w:val="0"/>
            <w:vAlign w:val="center"/>
          </w:tcPr>
          <w:p>
            <w:pPr>
              <w:jc w:val="center"/>
              <w:rPr>
                <w:color w:val="000000"/>
                <w:sz w:val="24"/>
                <w:szCs w:val="24"/>
              </w:rPr>
            </w:pPr>
            <w:r>
              <w:rPr>
                <w:rFonts w:hint="eastAsia"/>
                <w:color w:val="000000"/>
                <w:sz w:val="24"/>
                <w:szCs w:val="24"/>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2.3</w:t>
            </w:r>
          </w:p>
        </w:tc>
        <w:tc>
          <w:tcPr>
            <w:tcW w:w="1230" w:type="dxa"/>
            <w:noWrap w:val="0"/>
            <w:vAlign w:val="center"/>
          </w:tcPr>
          <w:p>
            <w:pPr>
              <w:jc w:val="center"/>
              <w:rPr>
                <w:color w:val="000000"/>
                <w:sz w:val="24"/>
                <w:szCs w:val="24"/>
              </w:rPr>
            </w:pPr>
            <w:r>
              <w:rPr>
                <w:rFonts w:hint="eastAsia"/>
                <w:color w:val="000000"/>
                <w:sz w:val="24"/>
                <w:szCs w:val="24"/>
              </w:rPr>
              <w:t>二级指标</w:t>
            </w:r>
          </w:p>
        </w:tc>
        <w:tc>
          <w:tcPr>
            <w:tcW w:w="4644" w:type="dxa"/>
            <w:noWrap w:val="0"/>
            <w:vAlign w:val="center"/>
          </w:tcPr>
          <w:p>
            <w:pPr>
              <w:jc w:val="left"/>
              <w:rPr>
                <w:color w:val="000000"/>
                <w:sz w:val="24"/>
                <w:szCs w:val="24"/>
              </w:rPr>
            </w:pPr>
            <w:r>
              <w:rPr>
                <w:rFonts w:hint="eastAsia"/>
                <w:color w:val="000000"/>
                <w:sz w:val="24"/>
                <w:szCs w:val="24"/>
              </w:rPr>
              <w:t>教育服务</w:t>
            </w:r>
          </w:p>
        </w:tc>
        <w:tc>
          <w:tcPr>
            <w:tcW w:w="1781" w:type="dxa"/>
            <w:gridSpan w:val="3"/>
            <w:noWrap w:val="0"/>
            <w:vAlign w:val="center"/>
          </w:tcPr>
          <w:p>
            <w:pPr>
              <w:jc w:val="center"/>
              <w:rPr>
                <w:color w:val="000000"/>
                <w:sz w:val="24"/>
                <w:szCs w:val="24"/>
              </w:rPr>
            </w:pPr>
            <w:r>
              <w:rPr>
                <w:rFonts w:hint="eastAsia"/>
                <w:color w:val="000000"/>
                <w:sz w:val="24"/>
                <w:szCs w:val="24"/>
              </w:rPr>
              <w:t>指标权重15%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定性评估指标（原始分100分）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2.3.1</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rFonts w:hint="eastAsia" w:eastAsia="宋体"/>
                <w:color w:val="000000"/>
                <w:sz w:val="24"/>
                <w:szCs w:val="24"/>
                <w:lang w:eastAsia="zh-CN"/>
              </w:rPr>
            </w:pPr>
            <w:r>
              <w:rPr>
                <w:rFonts w:hint="eastAsia"/>
                <w:color w:val="000000"/>
                <w:sz w:val="24"/>
                <w:szCs w:val="24"/>
                <w:lang w:eastAsia="zh-CN"/>
              </w:rPr>
              <w:t>讲解服务</w:t>
            </w:r>
          </w:p>
        </w:tc>
        <w:tc>
          <w:tcPr>
            <w:tcW w:w="600" w:type="dxa"/>
            <w:noWrap w:val="0"/>
            <w:vAlign w:val="center"/>
          </w:tcPr>
          <w:p>
            <w:pPr>
              <w:jc w:val="center"/>
              <w:rPr>
                <w:color w:val="000000"/>
                <w:sz w:val="24"/>
                <w:szCs w:val="24"/>
              </w:rPr>
            </w:pPr>
            <w:r>
              <w:rPr>
                <w:rFonts w:hint="eastAsia"/>
                <w:color w:val="000000"/>
                <w:sz w:val="24"/>
                <w:szCs w:val="24"/>
              </w:rPr>
              <w:t>15</w:t>
            </w:r>
          </w:p>
        </w:tc>
        <w:tc>
          <w:tcPr>
            <w:tcW w:w="636" w:type="dxa"/>
            <w:noWrap w:val="0"/>
            <w:vAlign w:val="center"/>
          </w:tcPr>
          <w:p>
            <w:pPr>
              <w:jc w:val="center"/>
              <w:rPr>
                <w:color w:val="000000"/>
                <w:sz w:val="24"/>
                <w:szCs w:val="24"/>
              </w:rPr>
            </w:pPr>
            <w:r>
              <w:rPr>
                <w:rFonts w:hint="eastAsia"/>
                <w:color w:val="000000"/>
                <w:sz w:val="24"/>
                <w:szCs w:val="24"/>
              </w:rPr>
              <w:t>30</w:t>
            </w:r>
          </w:p>
        </w:tc>
        <w:tc>
          <w:tcPr>
            <w:tcW w:w="545" w:type="dxa"/>
            <w:noWrap w:val="0"/>
            <w:vAlign w:val="center"/>
          </w:tcPr>
          <w:p>
            <w:pPr>
              <w:jc w:val="center"/>
              <w:rPr>
                <w:color w:val="000000"/>
                <w:sz w:val="24"/>
                <w:szCs w:val="24"/>
              </w:rPr>
            </w:pPr>
            <w:r>
              <w:rPr>
                <w:rFonts w:hint="eastAsia"/>
                <w:color w:val="000000"/>
                <w:sz w:val="24"/>
                <w:szCs w:val="24"/>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讲解队伍建设和服务能力情况</w:t>
            </w:r>
          </w:p>
        </w:tc>
        <w:tc>
          <w:tcPr>
            <w:tcW w:w="600" w:type="dxa"/>
            <w:noWrap w:val="0"/>
            <w:vAlign w:val="center"/>
          </w:tcPr>
          <w:p>
            <w:pPr>
              <w:jc w:val="center"/>
              <w:rPr>
                <w:color w:val="000000"/>
                <w:sz w:val="24"/>
                <w:szCs w:val="24"/>
              </w:rPr>
            </w:pPr>
            <w:r>
              <w:rPr>
                <w:rFonts w:hint="eastAsia"/>
                <w:color w:val="000000"/>
                <w:sz w:val="24"/>
                <w:szCs w:val="24"/>
              </w:rPr>
              <w:t>4</w:t>
            </w:r>
          </w:p>
        </w:tc>
        <w:tc>
          <w:tcPr>
            <w:tcW w:w="636" w:type="dxa"/>
            <w:noWrap w:val="0"/>
            <w:vAlign w:val="center"/>
          </w:tcPr>
          <w:p>
            <w:pPr>
              <w:jc w:val="center"/>
              <w:rPr>
                <w:color w:val="000000"/>
                <w:sz w:val="24"/>
                <w:szCs w:val="24"/>
              </w:rPr>
            </w:pPr>
            <w:r>
              <w:rPr>
                <w:rFonts w:hint="eastAsia"/>
                <w:color w:val="000000"/>
                <w:sz w:val="24"/>
                <w:szCs w:val="24"/>
              </w:rPr>
              <w:t>9</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日常公益性讲解导览服务情况</w:t>
            </w:r>
          </w:p>
        </w:tc>
        <w:tc>
          <w:tcPr>
            <w:tcW w:w="600" w:type="dxa"/>
            <w:noWrap w:val="0"/>
            <w:vAlign w:val="center"/>
          </w:tcPr>
          <w:p>
            <w:pPr>
              <w:jc w:val="center"/>
              <w:rPr>
                <w:color w:val="000000"/>
                <w:sz w:val="24"/>
                <w:szCs w:val="24"/>
              </w:rPr>
            </w:pPr>
            <w:r>
              <w:rPr>
                <w:color w:val="000000"/>
                <w:sz w:val="24"/>
                <w:szCs w:val="24"/>
              </w:rPr>
              <w:t>4</w:t>
            </w:r>
          </w:p>
        </w:tc>
        <w:tc>
          <w:tcPr>
            <w:tcW w:w="636" w:type="dxa"/>
            <w:noWrap w:val="0"/>
            <w:vAlign w:val="center"/>
          </w:tcPr>
          <w:p>
            <w:pPr>
              <w:jc w:val="center"/>
              <w:rPr>
                <w:color w:val="000000"/>
                <w:sz w:val="24"/>
                <w:szCs w:val="24"/>
              </w:rPr>
            </w:pPr>
            <w:r>
              <w:rPr>
                <w:rFonts w:hint="eastAsia"/>
                <w:color w:val="000000"/>
                <w:sz w:val="24"/>
                <w:szCs w:val="24"/>
              </w:rPr>
              <w:t>7</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馆长、专家导览等特色化讲解导览服务情况</w:t>
            </w:r>
          </w:p>
        </w:tc>
        <w:tc>
          <w:tcPr>
            <w:tcW w:w="600" w:type="dxa"/>
            <w:noWrap w:val="0"/>
            <w:vAlign w:val="center"/>
          </w:tcPr>
          <w:p>
            <w:pPr>
              <w:jc w:val="center"/>
              <w:rPr>
                <w:color w:val="000000"/>
                <w:sz w:val="24"/>
                <w:szCs w:val="24"/>
              </w:rPr>
            </w:pPr>
            <w:r>
              <w:rPr>
                <w:color w:val="000000"/>
                <w:sz w:val="24"/>
                <w:szCs w:val="24"/>
              </w:rPr>
              <w:t>4</w:t>
            </w:r>
          </w:p>
        </w:tc>
        <w:tc>
          <w:tcPr>
            <w:tcW w:w="636" w:type="dxa"/>
            <w:noWrap w:val="0"/>
            <w:vAlign w:val="center"/>
          </w:tcPr>
          <w:p>
            <w:pPr>
              <w:jc w:val="center"/>
              <w:rPr>
                <w:color w:val="000000"/>
                <w:sz w:val="24"/>
                <w:szCs w:val="24"/>
              </w:rPr>
            </w:pPr>
            <w:r>
              <w:rPr>
                <w:rFonts w:hint="eastAsia"/>
                <w:color w:val="000000"/>
                <w:sz w:val="24"/>
                <w:szCs w:val="24"/>
              </w:rPr>
              <w:t>7</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智慧导览服务情况</w:t>
            </w:r>
          </w:p>
        </w:tc>
        <w:tc>
          <w:tcPr>
            <w:tcW w:w="600" w:type="dxa"/>
            <w:noWrap w:val="0"/>
            <w:vAlign w:val="center"/>
          </w:tcPr>
          <w:p>
            <w:pPr>
              <w:jc w:val="center"/>
              <w:rPr>
                <w:color w:val="000000"/>
                <w:sz w:val="24"/>
                <w:szCs w:val="24"/>
              </w:rPr>
            </w:pPr>
            <w:r>
              <w:rPr>
                <w:rFonts w:hint="eastAsia"/>
                <w:color w:val="000000"/>
                <w:sz w:val="24"/>
                <w:szCs w:val="24"/>
              </w:rPr>
              <w:t>3</w:t>
            </w:r>
          </w:p>
        </w:tc>
        <w:tc>
          <w:tcPr>
            <w:tcW w:w="636" w:type="dxa"/>
            <w:noWrap w:val="0"/>
            <w:vAlign w:val="center"/>
          </w:tcPr>
          <w:p>
            <w:pPr>
              <w:jc w:val="center"/>
              <w:rPr>
                <w:color w:val="000000"/>
                <w:sz w:val="24"/>
                <w:szCs w:val="24"/>
              </w:rPr>
            </w:pPr>
            <w:r>
              <w:rPr>
                <w:rFonts w:hint="eastAsia"/>
                <w:color w:val="000000"/>
                <w:sz w:val="24"/>
                <w:szCs w:val="24"/>
              </w:rPr>
              <w:t>7</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2.3.2</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教育活动</w:t>
            </w:r>
          </w:p>
        </w:tc>
        <w:tc>
          <w:tcPr>
            <w:tcW w:w="600" w:type="dxa"/>
            <w:noWrap w:val="0"/>
            <w:vAlign w:val="center"/>
          </w:tcPr>
          <w:p>
            <w:pPr>
              <w:jc w:val="center"/>
              <w:rPr>
                <w:color w:val="000000"/>
                <w:sz w:val="24"/>
                <w:szCs w:val="24"/>
              </w:rPr>
            </w:pPr>
            <w:r>
              <w:rPr>
                <w:rFonts w:hint="eastAsia"/>
                <w:color w:val="000000"/>
                <w:sz w:val="24"/>
                <w:szCs w:val="24"/>
              </w:rPr>
              <w:t>77</w:t>
            </w:r>
          </w:p>
        </w:tc>
        <w:tc>
          <w:tcPr>
            <w:tcW w:w="636" w:type="dxa"/>
            <w:noWrap w:val="0"/>
            <w:vAlign w:val="center"/>
          </w:tcPr>
          <w:p>
            <w:pPr>
              <w:jc w:val="center"/>
              <w:rPr>
                <w:color w:val="000000"/>
                <w:sz w:val="24"/>
                <w:szCs w:val="24"/>
              </w:rPr>
            </w:pPr>
            <w:r>
              <w:rPr>
                <w:rFonts w:hint="eastAsia"/>
                <w:color w:val="000000"/>
                <w:sz w:val="24"/>
                <w:szCs w:val="24"/>
              </w:rPr>
              <w:t>60</w:t>
            </w:r>
          </w:p>
        </w:tc>
        <w:tc>
          <w:tcPr>
            <w:tcW w:w="545" w:type="dxa"/>
            <w:noWrap w:val="0"/>
            <w:vAlign w:val="center"/>
          </w:tcPr>
          <w:p>
            <w:pPr>
              <w:jc w:val="center"/>
              <w:rPr>
                <w:color w:val="000000"/>
                <w:sz w:val="24"/>
                <w:szCs w:val="24"/>
              </w:rPr>
            </w:pPr>
            <w:r>
              <w:rPr>
                <w:rFonts w:hint="eastAsia"/>
                <w:color w:val="000000"/>
                <w:sz w:val="24"/>
                <w:szCs w:val="24"/>
              </w:rPr>
              <w:t>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博物馆教育活动规划编制与实施的总体情况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接待青少年群体利用博物馆资源，组织开展爱国主义、革命传统、中华优秀传统文化、生态文明、国家安全、“大思政课”等主题的研学实践教育活动的情况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7</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博物馆与当地各类学校联系，签订馆校共建协议，开展博物馆进校园活动的情况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6</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博物馆根据青少年群体认知规律和学校教育教学需求，结合传统节日、纪念日等，组织开展各类经常性教育课程、教育活动的质量水平</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9</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代表性教育活动的质量水平</w:t>
            </w:r>
          </w:p>
        </w:tc>
        <w:tc>
          <w:tcPr>
            <w:tcW w:w="600" w:type="dxa"/>
            <w:noWrap w:val="0"/>
            <w:vAlign w:val="center"/>
          </w:tcPr>
          <w:p>
            <w:pPr>
              <w:jc w:val="center"/>
              <w:rPr>
                <w:color w:val="000000"/>
                <w:sz w:val="24"/>
                <w:szCs w:val="24"/>
              </w:rPr>
            </w:pPr>
            <w:r>
              <w:rPr>
                <w:rFonts w:hint="eastAsia"/>
                <w:color w:val="000000"/>
                <w:sz w:val="24"/>
                <w:szCs w:val="24"/>
              </w:rPr>
              <w:t>17</w:t>
            </w:r>
          </w:p>
        </w:tc>
        <w:tc>
          <w:tcPr>
            <w:tcW w:w="636" w:type="dxa"/>
            <w:noWrap w:val="0"/>
            <w:vAlign w:val="center"/>
          </w:tcPr>
          <w:p>
            <w:pPr>
              <w:jc w:val="center"/>
              <w:rPr>
                <w:color w:val="000000"/>
                <w:sz w:val="24"/>
                <w:szCs w:val="24"/>
              </w:rPr>
            </w:pPr>
            <w:r>
              <w:rPr>
                <w:rFonts w:hint="eastAsia"/>
                <w:color w:val="000000"/>
                <w:sz w:val="24"/>
                <w:szCs w:val="24"/>
              </w:rPr>
              <w:t>13</w:t>
            </w:r>
          </w:p>
        </w:tc>
        <w:tc>
          <w:tcPr>
            <w:tcW w:w="545" w:type="dxa"/>
            <w:noWrap w:val="0"/>
            <w:vAlign w:val="center"/>
          </w:tcPr>
          <w:p>
            <w:pPr>
              <w:jc w:val="center"/>
              <w:rPr>
                <w:color w:val="000000"/>
                <w:sz w:val="24"/>
                <w:szCs w:val="24"/>
              </w:rPr>
            </w:pPr>
            <w:r>
              <w:rPr>
                <w:rFonts w:hint="eastAsia"/>
                <w:color w:val="000000"/>
                <w:sz w:val="24"/>
                <w:szCs w:val="24"/>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代表性教育活动面向学校、社区等群体和互联网平台推广情况，以及大中小学生、社区公众、网络受众的参与情况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9</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代表性教育活动品牌创建及其社会认知、认可度</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2.3.3</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公益鉴定</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博物馆公益鉴定服务制度、规划的编制情况</w:t>
            </w:r>
          </w:p>
        </w:tc>
        <w:tc>
          <w:tcPr>
            <w:tcW w:w="600" w:type="dxa"/>
            <w:noWrap w:val="0"/>
            <w:vAlign w:val="center"/>
          </w:tcPr>
          <w:p>
            <w:pPr>
              <w:jc w:val="center"/>
              <w:rPr>
                <w:color w:val="000000"/>
                <w:sz w:val="24"/>
                <w:szCs w:val="24"/>
              </w:rPr>
            </w:pPr>
            <w:r>
              <w:rPr>
                <w:rFonts w:hint="eastAsia"/>
                <w:color w:val="000000"/>
                <w:sz w:val="24"/>
                <w:szCs w:val="24"/>
              </w:rPr>
              <w:t>4</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博物馆公益鉴定服务实施的总体情况，如鉴定文物的类别，社会认知、认可度，服务推广情况</w:t>
            </w:r>
          </w:p>
        </w:tc>
        <w:tc>
          <w:tcPr>
            <w:tcW w:w="600" w:type="dxa"/>
            <w:noWrap w:val="0"/>
            <w:vAlign w:val="center"/>
          </w:tcPr>
          <w:p>
            <w:pPr>
              <w:jc w:val="center"/>
              <w:rPr>
                <w:color w:val="000000"/>
                <w:sz w:val="24"/>
                <w:szCs w:val="24"/>
              </w:rPr>
            </w:pPr>
            <w:r>
              <w:rPr>
                <w:rFonts w:hint="eastAsia"/>
                <w:color w:val="000000"/>
                <w:sz w:val="24"/>
                <w:szCs w:val="24"/>
              </w:rPr>
              <w:t>4</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定量评估指标（原始分100分）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讲解队伍人数（基础分：1人/分）</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人工讲解服务人次（基础分：100人次/分）</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智慧导览设备终端数（基础分：1台/分）</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智慧导览设备服务人次（基础分：1000人次/分）</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线下教育活动数（基础分：1场/分）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青少年教育课程数（基础分：1课/分）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共建学校数量（基础分：1校/分）</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学校教育服务次数（基础分：1次/分）</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培训师资人数（基础分：1人/分）</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教育活动参与人数（基础分：100人次/分）</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鉴定场次（基础分：1场/分）</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鉴定数量（基础分：1件/分）</w:t>
            </w:r>
          </w:p>
        </w:tc>
        <w:tc>
          <w:tcPr>
            <w:tcW w:w="600" w:type="dxa"/>
            <w:noWrap w:val="0"/>
            <w:vAlign w:val="center"/>
          </w:tcPr>
          <w:p>
            <w:pPr>
              <w:jc w:val="center"/>
              <w:rPr>
                <w:color w:val="000000"/>
                <w:sz w:val="24"/>
                <w:szCs w:val="24"/>
              </w:rPr>
            </w:pPr>
            <w:r>
              <w:rPr>
                <w:rFonts w:hint="eastAsia"/>
                <w:color w:val="000000"/>
                <w:sz w:val="24"/>
                <w:szCs w:val="24"/>
              </w:rPr>
              <w:t>8</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67" w:type="dxa"/>
            <w:noWrap w:val="0"/>
            <w:vAlign w:val="center"/>
          </w:tcPr>
          <w:p>
            <w:pPr>
              <w:jc w:val="left"/>
              <w:rPr>
                <w:color w:val="000000"/>
                <w:sz w:val="24"/>
                <w:szCs w:val="24"/>
              </w:rPr>
            </w:pPr>
            <w:r>
              <w:rPr>
                <w:rFonts w:hint="eastAsia"/>
                <w:color w:val="000000"/>
                <w:sz w:val="24"/>
                <w:szCs w:val="24"/>
              </w:rPr>
              <w:t>2.4</w:t>
            </w:r>
          </w:p>
        </w:tc>
        <w:tc>
          <w:tcPr>
            <w:tcW w:w="1230" w:type="dxa"/>
            <w:noWrap w:val="0"/>
            <w:vAlign w:val="center"/>
          </w:tcPr>
          <w:p>
            <w:pPr>
              <w:jc w:val="center"/>
              <w:rPr>
                <w:color w:val="000000"/>
                <w:sz w:val="24"/>
                <w:szCs w:val="24"/>
              </w:rPr>
            </w:pPr>
            <w:r>
              <w:rPr>
                <w:rFonts w:hint="eastAsia"/>
                <w:color w:val="000000"/>
                <w:sz w:val="24"/>
                <w:szCs w:val="24"/>
              </w:rPr>
              <w:t>二级指标</w:t>
            </w:r>
          </w:p>
        </w:tc>
        <w:tc>
          <w:tcPr>
            <w:tcW w:w="4644" w:type="dxa"/>
            <w:noWrap w:val="0"/>
            <w:vAlign w:val="center"/>
          </w:tcPr>
          <w:p>
            <w:pPr>
              <w:jc w:val="left"/>
              <w:rPr>
                <w:color w:val="000000"/>
                <w:sz w:val="24"/>
                <w:szCs w:val="24"/>
              </w:rPr>
            </w:pPr>
            <w:r>
              <w:rPr>
                <w:rFonts w:hint="eastAsia"/>
                <w:color w:val="000000"/>
                <w:sz w:val="24"/>
                <w:szCs w:val="24"/>
              </w:rPr>
              <w:t>文化传播</w:t>
            </w:r>
          </w:p>
        </w:tc>
        <w:tc>
          <w:tcPr>
            <w:tcW w:w="1781" w:type="dxa"/>
            <w:gridSpan w:val="3"/>
            <w:noWrap w:val="0"/>
            <w:vAlign w:val="center"/>
          </w:tcPr>
          <w:p>
            <w:pPr>
              <w:jc w:val="center"/>
              <w:rPr>
                <w:b/>
                <w:bCs/>
                <w:color w:val="000000"/>
                <w:sz w:val="24"/>
                <w:szCs w:val="24"/>
              </w:rPr>
            </w:pPr>
            <w:r>
              <w:rPr>
                <w:rFonts w:hint="eastAsia"/>
                <w:color w:val="000000"/>
                <w:sz w:val="24"/>
                <w:szCs w:val="24"/>
              </w:rPr>
              <w:t>指标权重10%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8522" w:type="dxa"/>
            <w:gridSpan w:val="6"/>
            <w:noWrap w:val="0"/>
            <w:vAlign w:val="center"/>
          </w:tcPr>
          <w:p>
            <w:pPr>
              <w:jc w:val="center"/>
              <w:rPr>
                <w:color w:val="000000"/>
                <w:sz w:val="24"/>
                <w:szCs w:val="24"/>
              </w:rPr>
            </w:pPr>
            <w:r>
              <w:rPr>
                <w:rFonts w:hint="eastAsia"/>
                <w:color w:val="000000"/>
                <w:sz w:val="24"/>
                <w:szCs w:val="24"/>
              </w:rPr>
              <w:t>定性评估指标（原始分100分）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2.4.1</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馆际协作</w:t>
            </w:r>
          </w:p>
        </w:tc>
        <w:tc>
          <w:tcPr>
            <w:tcW w:w="600" w:type="dxa"/>
            <w:noWrap w:val="0"/>
            <w:vAlign w:val="center"/>
          </w:tcPr>
          <w:p>
            <w:pPr>
              <w:jc w:val="center"/>
              <w:rPr>
                <w:color w:val="000000"/>
                <w:sz w:val="24"/>
                <w:szCs w:val="24"/>
              </w:rPr>
            </w:pPr>
            <w:r>
              <w:rPr>
                <w:rFonts w:hint="eastAsia"/>
                <w:color w:val="000000"/>
                <w:sz w:val="24"/>
                <w:szCs w:val="24"/>
              </w:rPr>
              <w:t>25</w:t>
            </w:r>
          </w:p>
        </w:tc>
        <w:tc>
          <w:tcPr>
            <w:tcW w:w="636" w:type="dxa"/>
            <w:noWrap w:val="0"/>
            <w:vAlign w:val="center"/>
          </w:tcPr>
          <w:p>
            <w:pPr>
              <w:jc w:val="center"/>
              <w:rPr>
                <w:color w:val="000000"/>
                <w:sz w:val="24"/>
                <w:szCs w:val="24"/>
              </w:rPr>
            </w:pPr>
            <w:r>
              <w:rPr>
                <w:rFonts w:hint="eastAsia"/>
                <w:color w:val="000000"/>
                <w:sz w:val="24"/>
                <w:szCs w:val="24"/>
              </w:rPr>
              <w:t>28</w:t>
            </w:r>
          </w:p>
        </w:tc>
        <w:tc>
          <w:tcPr>
            <w:tcW w:w="545" w:type="dxa"/>
            <w:noWrap w:val="0"/>
            <w:vAlign w:val="center"/>
          </w:tcPr>
          <w:p>
            <w:pPr>
              <w:jc w:val="center"/>
              <w:rPr>
                <w:color w:val="000000"/>
                <w:sz w:val="24"/>
                <w:szCs w:val="24"/>
              </w:rPr>
            </w:pPr>
            <w:r>
              <w:rPr>
                <w:rFonts w:hint="eastAsia"/>
                <w:color w:val="000000"/>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向国内其他博物馆输出展览、展品的综合质量水平</w:t>
            </w:r>
          </w:p>
        </w:tc>
        <w:tc>
          <w:tcPr>
            <w:tcW w:w="600" w:type="dxa"/>
            <w:noWrap w:val="0"/>
            <w:vAlign w:val="center"/>
          </w:tcPr>
          <w:p>
            <w:pPr>
              <w:jc w:val="center"/>
              <w:rPr>
                <w:color w:val="000000"/>
                <w:sz w:val="24"/>
                <w:szCs w:val="24"/>
              </w:rPr>
            </w:pPr>
            <w:r>
              <w:rPr>
                <w:rFonts w:hint="eastAsia"/>
                <w:color w:val="000000"/>
                <w:sz w:val="24"/>
                <w:szCs w:val="24"/>
              </w:rPr>
              <w:t>6</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举办国内学术研讨等文化交流活动的综合质量水平</w:t>
            </w:r>
          </w:p>
        </w:tc>
        <w:tc>
          <w:tcPr>
            <w:tcW w:w="600" w:type="dxa"/>
            <w:noWrap w:val="0"/>
            <w:vAlign w:val="center"/>
          </w:tcPr>
          <w:p>
            <w:pPr>
              <w:jc w:val="center"/>
              <w:rPr>
                <w:color w:val="000000"/>
                <w:sz w:val="24"/>
                <w:szCs w:val="24"/>
              </w:rPr>
            </w:pPr>
            <w:r>
              <w:rPr>
                <w:rFonts w:hint="eastAsia"/>
                <w:color w:val="000000"/>
                <w:sz w:val="24"/>
                <w:szCs w:val="24"/>
              </w:rPr>
              <w:t>6</w:t>
            </w:r>
          </w:p>
        </w:tc>
        <w:tc>
          <w:tcPr>
            <w:tcW w:w="636" w:type="dxa"/>
            <w:noWrap w:val="0"/>
            <w:vAlign w:val="center"/>
          </w:tcPr>
          <w:p>
            <w:pPr>
              <w:jc w:val="center"/>
              <w:rPr>
                <w:color w:val="000000"/>
                <w:sz w:val="24"/>
                <w:szCs w:val="24"/>
              </w:rPr>
            </w:pPr>
            <w:r>
              <w:rPr>
                <w:rFonts w:hint="eastAsia"/>
                <w:color w:val="000000"/>
                <w:sz w:val="24"/>
                <w:szCs w:val="24"/>
              </w:rPr>
              <w:t>7</w:t>
            </w:r>
          </w:p>
        </w:tc>
        <w:tc>
          <w:tcPr>
            <w:tcW w:w="545" w:type="dxa"/>
            <w:noWrap w:val="0"/>
            <w:vAlign w:val="center"/>
          </w:tcPr>
          <w:p>
            <w:pPr>
              <w:jc w:val="center"/>
              <w:rPr>
                <w:color w:val="000000"/>
                <w:sz w:val="24"/>
                <w:szCs w:val="24"/>
              </w:rPr>
            </w:pPr>
            <w:r>
              <w:rPr>
                <w:rFonts w:hint="eastAsia"/>
                <w:color w:val="00000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面向中小博物馆、非国有博物馆开展对口帮扶、馆际协作情况</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6</w:t>
            </w:r>
          </w:p>
        </w:tc>
        <w:tc>
          <w:tcPr>
            <w:tcW w:w="545" w:type="dxa"/>
            <w:noWrap w:val="0"/>
            <w:vAlign w:val="center"/>
          </w:tcPr>
          <w:p>
            <w:pPr>
              <w:jc w:val="center"/>
              <w:rPr>
                <w:color w:val="000000"/>
                <w:sz w:val="24"/>
                <w:szCs w:val="24"/>
              </w:rPr>
            </w:pPr>
            <w:r>
              <w:rPr>
                <w:rFonts w:hint="eastAsia"/>
                <w:color w:val="000000"/>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实施“博物馆+”战略，与教育、科技、旅游、商业、传媒、设计等各类社会机构开展跨界合作情况</w:t>
            </w:r>
          </w:p>
        </w:tc>
        <w:tc>
          <w:tcPr>
            <w:tcW w:w="600" w:type="dxa"/>
            <w:noWrap w:val="0"/>
            <w:vAlign w:val="center"/>
          </w:tcPr>
          <w:p>
            <w:pPr>
              <w:jc w:val="center"/>
              <w:rPr>
                <w:color w:val="000000"/>
                <w:sz w:val="24"/>
                <w:szCs w:val="24"/>
              </w:rPr>
            </w:pPr>
            <w:r>
              <w:rPr>
                <w:rFonts w:hint="eastAsia"/>
                <w:color w:val="000000"/>
                <w:sz w:val="24"/>
                <w:szCs w:val="24"/>
              </w:rPr>
              <w:t>6</w:t>
            </w:r>
          </w:p>
        </w:tc>
        <w:tc>
          <w:tcPr>
            <w:tcW w:w="636" w:type="dxa"/>
            <w:noWrap w:val="0"/>
            <w:vAlign w:val="center"/>
          </w:tcPr>
          <w:p>
            <w:pPr>
              <w:jc w:val="center"/>
              <w:rPr>
                <w:color w:val="000000"/>
                <w:sz w:val="24"/>
                <w:szCs w:val="24"/>
              </w:rPr>
            </w:pPr>
            <w:r>
              <w:rPr>
                <w:rFonts w:hint="eastAsia"/>
                <w:color w:val="000000"/>
                <w:sz w:val="24"/>
                <w:szCs w:val="24"/>
              </w:rPr>
              <w:t>7</w:t>
            </w:r>
          </w:p>
        </w:tc>
        <w:tc>
          <w:tcPr>
            <w:tcW w:w="545" w:type="dxa"/>
            <w:noWrap w:val="0"/>
            <w:vAlign w:val="center"/>
          </w:tcPr>
          <w:p>
            <w:pPr>
              <w:jc w:val="center"/>
              <w:rPr>
                <w:color w:val="000000"/>
                <w:sz w:val="24"/>
                <w:szCs w:val="24"/>
              </w:rPr>
            </w:pPr>
            <w:r>
              <w:rPr>
                <w:rFonts w:hint="eastAsia"/>
                <w:color w:val="000000"/>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 w:hRule="atLeast"/>
        </w:trPr>
        <w:tc>
          <w:tcPr>
            <w:tcW w:w="867" w:type="dxa"/>
            <w:noWrap w:val="0"/>
            <w:vAlign w:val="center"/>
          </w:tcPr>
          <w:p>
            <w:pPr>
              <w:jc w:val="left"/>
              <w:rPr>
                <w:color w:val="000000"/>
                <w:sz w:val="24"/>
                <w:szCs w:val="24"/>
              </w:rPr>
            </w:pPr>
            <w:r>
              <w:rPr>
                <w:rFonts w:hint="eastAsia"/>
                <w:color w:val="000000"/>
                <w:sz w:val="24"/>
                <w:szCs w:val="24"/>
              </w:rPr>
              <w:t>2.4.2</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国际交流</w:t>
            </w:r>
          </w:p>
        </w:tc>
        <w:tc>
          <w:tcPr>
            <w:tcW w:w="600" w:type="dxa"/>
            <w:noWrap w:val="0"/>
            <w:vAlign w:val="center"/>
          </w:tcPr>
          <w:p>
            <w:pPr>
              <w:jc w:val="center"/>
              <w:rPr>
                <w:color w:val="000000"/>
                <w:sz w:val="24"/>
                <w:szCs w:val="24"/>
              </w:rPr>
            </w:pPr>
            <w:r>
              <w:rPr>
                <w:rFonts w:hint="eastAsia"/>
                <w:color w:val="000000"/>
                <w:sz w:val="24"/>
                <w:szCs w:val="24"/>
              </w:rPr>
              <w:t>25</w:t>
            </w:r>
          </w:p>
        </w:tc>
        <w:tc>
          <w:tcPr>
            <w:tcW w:w="636" w:type="dxa"/>
            <w:noWrap w:val="0"/>
            <w:vAlign w:val="center"/>
          </w:tcPr>
          <w:p>
            <w:pPr>
              <w:jc w:val="center"/>
              <w:rPr>
                <w:color w:val="000000"/>
                <w:sz w:val="24"/>
                <w:szCs w:val="24"/>
              </w:rPr>
            </w:pPr>
            <w:r>
              <w:rPr>
                <w:rFonts w:hint="eastAsia"/>
                <w:color w:val="000000"/>
                <w:sz w:val="24"/>
                <w:szCs w:val="24"/>
              </w:rPr>
              <w:t>14</w:t>
            </w:r>
          </w:p>
        </w:tc>
        <w:tc>
          <w:tcPr>
            <w:tcW w:w="545" w:type="dxa"/>
            <w:noWrap w:val="0"/>
            <w:vAlign w:val="center"/>
          </w:tcPr>
          <w:p>
            <w:pPr>
              <w:jc w:val="center"/>
              <w:rPr>
                <w:color w:val="000000"/>
                <w:sz w:val="24"/>
                <w:szCs w:val="24"/>
              </w:rPr>
            </w:pPr>
            <w:r>
              <w:rPr>
                <w:rFonts w:hint="eastAsia"/>
                <w:color w:val="000000"/>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独立或参与举办进出境展览的综合质量水平</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4</w:t>
            </w:r>
          </w:p>
        </w:tc>
        <w:tc>
          <w:tcPr>
            <w:tcW w:w="545" w:type="dxa"/>
            <w:noWrap w:val="0"/>
            <w:vAlign w:val="center"/>
          </w:tcPr>
          <w:p>
            <w:pPr>
              <w:jc w:val="center"/>
              <w:rPr>
                <w:color w:val="000000"/>
                <w:sz w:val="24"/>
                <w:szCs w:val="24"/>
              </w:rPr>
            </w:pPr>
            <w:r>
              <w:rPr>
                <w:rFonts w:hint="eastAsia"/>
                <w:color w:val="00000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举办国际学术研讨活动的综合质量水平</w:t>
            </w:r>
          </w:p>
        </w:tc>
        <w:tc>
          <w:tcPr>
            <w:tcW w:w="600" w:type="dxa"/>
            <w:noWrap w:val="0"/>
            <w:vAlign w:val="center"/>
          </w:tcPr>
          <w:p>
            <w:pPr>
              <w:jc w:val="center"/>
              <w:rPr>
                <w:color w:val="000000"/>
                <w:sz w:val="24"/>
                <w:szCs w:val="24"/>
              </w:rPr>
            </w:pPr>
            <w:r>
              <w:rPr>
                <w:rFonts w:hint="eastAsia"/>
                <w:color w:val="000000"/>
                <w:sz w:val="24"/>
                <w:szCs w:val="24"/>
              </w:rPr>
              <w:t>6</w:t>
            </w:r>
          </w:p>
        </w:tc>
        <w:tc>
          <w:tcPr>
            <w:tcW w:w="636" w:type="dxa"/>
            <w:noWrap w:val="0"/>
            <w:vAlign w:val="center"/>
          </w:tcPr>
          <w:p>
            <w:pPr>
              <w:jc w:val="center"/>
              <w:rPr>
                <w:color w:val="000000"/>
                <w:sz w:val="24"/>
                <w:szCs w:val="24"/>
              </w:rPr>
            </w:pPr>
            <w:r>
              <w:rPr>
                <w:rFonts w:hint="eastAsia"/>
                <w:color w:val="000000"/>
                <w:sz w:val="24"/>
                <w:szCs w:val="24"/>
              </w:rPr>
              <w:t>4</w:t>
            </w:r>
          </w:p>
        </w:tc>
        <w:tc>
          <w:tcPr>
            <w:tcW w:w="545" w:type="dxa"/>
            <w:noWrap w:val="0"/>
            <w:vAlign w:val="center"/>
          </w:tcPr>
          <w:p>
            <w:pPr>
              <w:jc w:val="center"/>
              <w:rPr>
                <w:color w:val="000000"/>
                <w:sz w:val="24"/>
                <w:szCs w:val="24"/>
              </w:rPr>
            </w:pPr>
            <w:r>
              <w:rPr>
                <w:rFonts w:hint="eastAsia"/>
                <w:color w:val="000000"/>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参加国际学术交流活动的总体情况</w:t>
            </w:r>
          </w:p>
        </w:tc>
        <w:tc>
          <w:tcPr>
            <w:tcW w:w="600" w:type="dxa"/>
            <w:noWrap w:val="0"/>
            <w:vAlign w:val="center"/>
          </w:tcPr>
          <w:p>
            <w:pPr>
              <w:jc w:val="center"/>
              <w:rPr>
                <w:color w:val="000000"/>
                <w:sz w:val="24"/>
                <w:szCs w:val="24"/>
              </w:rPr>
            </w:pPr>
            <w:r>
              <w:rPr>
                <w:rFonts w:hint="eastAsia"/>
                <w:color w:val="000000"/>
                <w:sz w:val="24"/>
                <w:szCs w:val="24"/>
              </w:rPr>
              <w:t>6</w:t>
            </w:r>
          </w:p>
        </w:tc>
        <w:tc>
          <w:tcPr>
            <w:tcW w:w="636" w:type="dxa"/>
            <w:noWrap w:val="0"/>
            <w:vAlign w:val="center"/>
          </w:tcPr>
          <w:p>
            <w:pPr>
              <w:jc w:val="center"/>
              <w:rPr>
                <w:color w:val="000000"/>
                <w:sz w:val="24"/>
                <w:szCs w:val="24"/>
              </w:rPr>
            </w:pPr>
            <w:r>
              <w:rPr>
                <w:rFonts w:hint="eastAsia"/>
                <w:color w:val="000000"/>
                <w:sz w:val="24"/>
                <w:szCs w:val="24"/>
              </w:rPr>
              <w:t>3</w:t>
            </w:r>
          </w:p>
        </w:tc>
        <w:tc>
          <w:tcPr>
            <w:tcW w:w="545" w:type="dxa"/>
            <w:noWrap w:val="0"/>
            <w:vAlign w:val="center"/>
          </w:tcPr>
          <w:p>
            <w:pPr>
              <w:jc w:val="center"/>
              <w:rPr>
                <w:color w:val="000000"/>
                <w:sz w:val="24"/>
                <w:szCs w:val="24"/>
              </w:rPr>
            </w:pPr>
            <w:r>
              <w:rPr>
                <w:rFonts w:hint="eastAsia"/>
                <w:color w:val="000000"/>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组织开展或参与文物保护、考古、科研等领域国际合作项目的情况</w:t>
            </w:r>
          </w:p>
        </w:tc>
        <w:tc>
          <w:tcPr>
            <w:tcW w:w="600" w:type="dxa"/>
            <w:noWrap w:val="0"/>
            <w:vAlign w:val="center"/>
          </w:tcPr>
          <w:p>
            <w:pPr>
              <w:jc w:val="center"/>
              <w:rPr>
                <w:color w:val="000000"/>
                <w:sz w:val="24"/>
                <w:szCs w:val="24"/>
              </w:rPr>
            </w:pPr>
            <w:r>
              <w:rPr>
                <w:rFonts w:hint="eastAsia"/>
                <w:color w:val="000000"/>
                <w:sz w:val="24"/>
                <w:szCs w:val="24"/>
              </w:rPr>
              <w:t>6</w:t>
            </w:r>
          </w:p>
        </w:tc>
        <w:tc>
          <w:tcPr>
            <w:tcW w:w="636" w:type="dxa"/>
            <w:noWrap w:val="0"/>
            <w:vAlign w:val="center"/>
          </w:tcPr>
          <w:p>
            <w:pPr>
              <w:jc w:val="center"/>
              <w:rPr>
                <w:color w:val="000000"/>
                <w:sz w:val="24"/>
                <w:szCs w:val="24"/>
              </w:rPr>
            </w:pPr>
            <w:r>
              <w:rPr>
                <w:rFonts w:hint="eastAsia"/>
                <w:color w:val="000000"/>
                <w:sz w:val="24"/>
                <w:szCs w:val="24"/>
              </w:rPr>
              <w:t>3</w:t>
            </w:r>
          </w:p>
        </w:tc>
        <w:tc>
          <w:tcPr>
            <w:tcW w:w="545" w:type="dxa"/>
            <w:noWrap w:val="0"/>
            <w:vAlign w:val="center"/>
          </w:tcPr>
          <w:p>
            <w:pPr>
              <w:jc w:val="center"/>
              <w:rPr>
                <w:color w:val="000000"/>
                <w:sz w:val="24"/>
                <w:szCs w:val="24"/>
              </w:rPr>
            </w:pPr>
            <w:r>
              <w:rPr>
                <w:rFonts w:hint="eastAsia"/>
                <w:color w:val="000000"/>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rFonts w:hint="eastAsia" w:eastAsia="宋体"/>
                <w:color w:val="000000"/>
                <w:sz w:val="24"/>
                <w:szCs w:val="24"/>
                <w:lang w:val="en-US" w:eastAsia="zh-CN"/>
              </w:rPr>
            </w:pPr>
            <w:r>
              <w:rPr>
                <w:rFonts w:hint="eastAsia"/>
                <w:color w:val="000000"/>
                <w:sz w:val="24"/>
                <w:szCs w:val="24"/>
              </w:rPr>
              <w:t>2.4.</w:t>
            </w:r>
            <w:r>
              <w:rPr>
                <w:rFonts w:hint="eastAsia"/>
                <w:color w:val="000000"/>
                <w:sz w:val="24"/>
                <w:szCs w:val="24"/>
                <w:lang w:val="en-US" w:eastAsia="zh-CN"/>
              </w:rPr>
              <w:t>3</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数字传播</w:t>
            </w:r>
          </w:p>
        </w:tc>
        <w:tc>
          <w:tcPr>
            <w:tcW w:w="600" w:type="dxa"/>
            <w:noWrap w:val="0"/>
            <w:vAlign w:val="center"/>
          </w:tcPr>
          <w:p>
            <w:pPr>
              <w:jc w:val="center"/>
              <w:rPr>
                <w:color w:val="000000"/>
                <w:sz w:val="24"/>
                <w:szCs w:val="24"/>
              </w:rPr>
            </w:pPr>
            <w:r>
              <w:rPr>
                <w:rFonts w:hint="eastAsia"/>
                <w:color w:val="000000"/>
                <w:sz w:val="24"/>
                <w:szCs w:val="24"/>
              </w:rPr>
              <w:t>37</w:t>
            </w:r>
          </w:p>
        </w:tc>
        <w:tc>
          <w:tcPr>
            <w:tcW w:w="636" w:type="dxa"/>
            <w:noWrap w:val="0"/>
            <w:vAlign w:val="center"/>
          </w:tcPr>
          <w:p>
            <w:pPr>
              <w:jc w:val="center"/>
              <w:rPr>
                <w:color w:val="000000"/>
                <w:sz w:val="24"/>
                <w:szCs w:val="24"/>
              </w:rPr>
            </w:pPr>
            <w:r>
              <w:rPr>
                <w:rFonts w:hint="eastAsia"/>
                <w:color w:val="000000"/>
                <w:sz w:val="24"/>
                <w:szCs w:val="24"/>
              </w:rPr>
              <w:t>43</w:t>
            </w:r>
          </w:p>
        </w:tc>
        <w:tc>
          <w:tcPr>
            <w:tcW w:w="545" w:type="dxa"/>
            <w:noWrap w:val="0"/>
            <w:vAlign w:val="center"/>
          </w:tcPr>
          <w:p>
            <w:pPr>
              <w:jc w:val="center"/>
              <w:rPr>
                <w:color w:val="000000"/>
                <w:sz w:val="24"/>
                <w:szCs w:val="24"/>
              </w:rPr>
            </w:pPr>
            <w:r>
              <w:rPr>
                <w:rFonts w:hint="eastAsia"/>
                <w:color w:val="000000"/>
                <w:sz w:val="24"/>
                <w:szCs w:val="24"/>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在本馆官方网站等渠道开放查询、展示藏品数据信息和高清影像的情况</w:t>
            </w:r>
          </w:p>
        </w:tc>
        <w:tc>
          <w:tcPr>
            <w:tcW w:w="600" w:type="dxa"/>
            <w:noWrap w:val="0"/>
            <w:vAlign w:val="center"/>
          </w:tcPr>
          <w:p>
            <w:pPr>
              <w:jc w:val="center"/>
              <w:rPr>
                <w:color w:val="000000"/>
                <w:sz w:val="24"/>
                <w:szCs w:val="24"/>
              </w:rPr>
            </w:pPr>
            <w:r>
              <w:rPr>
                <w:rFonts w:hint="eastAsia"/>
                <w:color w:val="000000"/>
                <w:sz w:val="24"/>
                <w:szCs w:val="24"/>
              </w:rPr>
              <w:t>9</w:t>
            </w:r>
          </w:p>
        </w:tc>
        <w:tc>
          <w:tcPr>
            <w:tcW w:w="636" w:type="dxa"/>
            <w:noWrap w:val="0"/>
            <w:vAlign w:val="center"/>
          </w:tcPr>
          <w:p>
            <w:pPr>
              <w:jc w:val="center"/>
              <w:rPr>
                <w:color w:val="000000"/>
                <w:sz w:val="24"/>
                <w:szCs w:val="24"/>
              </w:rPr>
            </w:pPr>
            <w:r>
              <w:rPr>
                <w:rFonts w:hint="eastAsia"/>
                <w:color w:val="000000"/>
                <w:sz w:val="24"/>
                <w:szCs w:val="24"/>
              </w:rPr>
              <w:t>9</w:t>
            </w:r>
          </w:p>
        </w:tc>
        <w:tc>
          <w:tcPr>
            <w:tcW w:w="545" w:type="dxa"/>
            <w:noWrap w:val="0"/>
            <w:vAlign w:val="center"/>
          </w:tcPr>
          <w:p>
            <w:pPr>
              <w:jc w:val="center"/>
              <w:rPr>
                <w:color w:val="000000"/>
                <w:sz w:val="24"/>
                <w:szCs w:val="24"/>
              </w:rPr>
            </w:pPr>
            <w:r>
              <w:rPr>
                <w:rFonts w:hint="eastAsia"/>
                <w:color w:val="000000"/>
                <w:sz w:val="24"/>
                <w:szCs w:val="24"/>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与融媒体平台合作，针对网络受众推出的云展览、云讲解、云教育（云课程）、短视频、高清直播、虚拟展厅、沉浸式体验等各类线上数字化体验产品的情况</w:t>
            </w:r>
          </w:p>
        </w:tc>
        <w:tc>
          <w:tcPr>
            <w:tcW w:w="600" w:type="dxa"/>
            <w:noWrap w:val="0"/>
            <w:vAlign w:val="center"/>
          </w:tcPr>
          <w:p>
            <w:pPr>
              <w:jc w:val="center"/>
              <w:rPr>
                <w:color w:val="000000"/>
                <w:sz w:val="24"/>
                <w:szCs w:val="24"/>
              </w:rPr>
            </w:pPr>
            <w:r>
              <w:rPr>
                <w:rFonts w:hint="eastAsia"/>
                <w:color w:val="000000"/>
                <w:sz w:val="24"/>
                <w:szCs w:val="24"/>
              </w:rPr>
              <w:t>13</w:t>
            </w:r>
          </w:p>
        </w:tc>
        <w:tc>
          <w:tcPr>
            <w:tcW w:w="636" w:type="dxa"/>
            <w:noWrap w:val="0"/>
            <w:vAlign w:val="center"/>
          </w:tcPr>
          <w:p>
            <w:pPr>
              <w:jc w:val="center"/>
              <w:rPr>
                <w:color w:val="000000"/>
                <w:sz w:val="24"/>
                <w:szCs w:val="24"/>
              </w:rPr>
            </w:pPr>
            <w:r>
              <w:rPr>
                <w:rFonts w:hint="eastAsia"/>
                <w:color w:val="000000"/>
                <w:sz w:val="24"/>
                <w:szCs w:val="24"/>
              </w:rPr>
              <w:t>15</w:t>
            </w:r>
          </w:p>
        </w:tc>
        <w:tc>
          <w:tcPr>
            <w:tcW w:w="545" w:type="dxa"/>
            <w:noWrap w:val="0"/>
            <w:vAlign w:val="center"/>
          </w:tcPr>
          <w:p>
            <w:pPr>
              <w:jc w:val="center"/>
              <w:rPr>
                <w:color w:val="000000"/>
                <w:sz w:val="24"/>
                <w:szCs w:val="24"/>
              </w:rPr>
            </w:pPr>
            <w:r>
              <w:rPr>
                <w:rFonts w:hint="eastAsia"/>
                <w:color w:val="000000"/>
                <w:sz w:val="24"/>
                <w:szCs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代表性线上数字化体验产品的质量水平</w:t>
            </w:r>
          </w:p>
        </w:tc>
        <w:tc>
          <w:tcPr>
            <w:tcW w:w="600" w:type="dxa"/>
            <w:noWrap w:val="0"/>
            <w:vAlign w:val="center"/>
          </w:tcPr>
          <w:p>
            <w:pPr>
              <w:jc w:val="center"/>
              <w:rPr>
                <w:color w:val="000000"/>
                <w:sz w:val="24"/>
                <w:szCs w:val="24"/>
              </w:rPr>
            </w:pPr>
            <w:r>
              <w:rPr>
                <w:rFonts w:hint="eastAsia"/>
                <w:color w:val="000000"/>
                <w:sz w:val="24"/>
                <w:szCs w:val="24"/>
              </w:rPr>
              <w:t>15</w:t>
            </w:r>
          </w:p>
        </w:tc>
        <w:tc>
          <w:tcPr>
            <w:tcW w:w="636" w:type="dxa"/>
            <w:noWrap w:val="0"/>
            <w:vAlign w:val="center"/>
          </w:tcPr>
          <w:p>
            <w:pPr>
              <w:jc w:val="center"/>
              <w:rPr>
                <w:color w:val="000000"/>
                <w:sz w:val="24"/>
                <w:szCs w:val="24"/>
              </w:rPr>
            </w:pPr>
            <w:r>
              <w:rPr>
                <w:rFonts w:hint="eastAsia"/>
                <w:color w:val="000000"/>
                <w:sz w:val="24"/>
                <w:szCs w:val="24"/>
              </w:rPr>
              <w:t>19</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rFonts w:hint="eastAsia" w:eastAsia="宋体"/>
                <w:color w:val="000000"/>
                <w:sz w:val="24"/>
                <w:szCs w:val="24"/>
                <w:lang w:val="en-US" w:eastAsia="zh-CN"/>
              </w:rPr>
            </w:pPr>
            <w:r>
              <w:rPr>
                <w:rFonts w:hint="eastAsia"/>
                <w:color w:val="000000"/>
                <w:sz w:val="24"/>
                <w:szCs w:val="24"/>
              </w:rPr>
              <w:t>2.4.</w:t>
            </w:r>
            <w:r>
              <w:rPr>
                <w:rFonts w:hint="eastAsia"/>
                <w:color w:val="000000"/>
                <w:sz w:val="24"/>
                <w:szCs w:val="24"/>
                <w:lang w:val="en-US" w:eastAsia="zh-CN"/>
              </w:rPr>
              <w:t>4</w:t>
            </w:r>
          </w:p>
        </w:tc>
        <w:tc>
          <w:tcPr>
            <w:tcW w:w="1230" w:type="dxa"/>
            <w:noWrap w:val="0"/>
            <w:vAlign w:val="center"/>
          </w:tcPr>
          <w:p>
            <w:pPr>
              <w:jc w:val="left"/>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文创经营</w:t>
            </w:r>
          </w:p>
        </w:tc>
        <w:tc>
          <w:tcPr>
            <w:tcW w:w="600" w:type="dxa"/>
            <w:noWrap w:val="0"/>
            <w:vAlign w:val="center"/>
          </w:tcPr>
          <w:p>
            <w:pPr>
              <w:jc w:val="center"/>
              <w:rPr>
                <w:color w:val="000000"/>
                <w:sz w:val="24"/>
                <w:szCs w:val="24"/>
              </w:rPr>
            </w:pPr>
            <w:r>
              <w:rPr>
                <w:rFonts w:hint="eastAsia"/>
                <w:color w:val="000000"/>
                <w:sz w:val="24"/>
                <w:szCs w:val="24"/>
              </w:rPr>
              <w:t>13</w:t>
            </w:r>
          </w:p>
        </w:tc>
        <w:tc>
          <w:tcPr>
            <w:tcW w:w="636" w:type="dxa"/>
            <w:noWrap w:val="0"/>
            <w:vAlign w:val="center"/>
          </w:tcPr>
          <w:p>
            <w:pPr>
              <w:jc w:val="center"/>
              <w:rPr>
                <w:color w:val="000000"/>
                <w:sz w:val="24"/>
                <w:szCs w:val="24"/>
              </w:rPr>
            </w:pPr>
            <w:r>
              <w:rPr>
                <w:rFonts w:hint="eastAsia"/>
                <w:color w:val="000000"/>
                <w:sz w:val="24"/>
                <w:szCs w:val="24"/>
              </w:rPr>
              <w:t>15</w:t>
            </w:r>
          </w:p>
        </w:tc>
        <w:tc>
          <w:tcPr>
            <w:tcW w:w="545" w:type="dxa"/>
            <w:noWrap w:val="0"/>
            <w:vAlign w:val="center"/>
          </w:tcPr>
          <w:p>
            <w:pPr>
              <w:jc w:val="center"/>
              <w:rPr>
                <w:color w:val="000000"/>
                <w:sz w:val="24"/>
                <w:szCs w:val="24"/>
              </w:rPr>
            </w:pPr>
            <w:r>
              <w:rPr>
                <w:rFonts w:hint="eastAsia"/>
                <w:color w:val="000000"/>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left"/>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博物馆通过授权等手段开发文创产品的种类、特色、以及获得经济、社会效益的情况</w:t>
            </w:r>
          </w:p>
        </w:tc>
        <w:tc>
          <w:tcPr>
            <w:tcW w:w="600" w:type="dxa"/>
            <w:noWrap w:val="0"/>
            <w:vAlign w:val="center"/>
          </w:tcPr>
          <w:p>
            <w:pPr>
              <w:jc w:val="center"/>
              <w:rPr>
                <w:color w:val="000000"/>
                <w:sz w:val="24"/>
                <w:szCs w:val="24"/>
              </w:rPr>
            </w:pPr>
            <w:r>
              <w:rPr>
                <w:rFonts w:hint="eastAsia"/>
                <w:color w:val="000000"/>
                <w:sz w:val="24"/>
                <w:szCs w:val="24"/>
              </w:rPr>
              <w:t>4</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left"/>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代表性文创产品质量水平</w:t>
            </w:r>
          </w:p>
        </w:tc>
        <w:tc>
          <w:tcPr>
            <w:tcW w:w="600" w:type="dxa"/>
            <w:noWrap w:val="0"/>
            <w:vAlign w:val="center"/>
          </w:tcPr>
          <w:p>
            <w:pPr>
              <w:jc w:val="center"/>
              <w:rPr>
                <w:color w:val="000000"/>
                <w:sz w:val="24"/>
                <w:szCs w:val="24"/>
              </w:rPr>
            </w:pPr>
            <w:r>
              <w:rPr>
                <w:rFonts w:hint="eastAsia"/>
                <w:color w:val="000000"/>
                <w:sz w:val="24"/>
                <w:szCs w:val="24"/>
              </w:rPr>
              <w:t>5</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left"/>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代表性文创产品的品牌创建及其社会认知、认可度</w:t>
            </w:r>
          </w:p>
        </w:tc>
        <w:tc>
          <w:tcPr>
            <w:tcW w:w="600" w:type="dxa"/>
            <w:noWrap w:val="0"/>
            <w:vAlign w:val="center"/>
          </w:tcPr>
          <w:p>
            <w:pPr>
              <w:jc w:val="center"/>
              <w:rPr>
                <w:color w:val="000000"/>
                <w:sz w:val="24"/>
                <w:szCs w:val="24"/>
              </w:rPr>
            </w:pPr>
            <w:r>
              <w:rPr>
                <w:rFonts w:hint="eastAsia"/>
                <w:color w:val="000000"/>
                <w:sz w:val="24"/>
                <w:szCs w:val="24"/>
              </w:rPr>
              <w:t>4</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定量评估指标（原始分100分）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输出展览数（基础分：1次/分）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入境展览数（基础分：1个/分）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出境展览数（基础分：1个/分）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国内学术研讨活动次数（基础分：1次/分）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国际学术研讨活动次数（基础分：1次/分）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文化创意产品数（基础分：1类/分）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文化创意产品销售收入（基础分：10000元/分）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公开藏品信息数量（基础分：100件（套）/分）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线上数字化体验产品数量（基础分：1项/分）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线上数字化体验产品浏览量（基础分：10000次/分）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 w:hRule="atLeast"/>
        </w:trPr>
        <w:tc>
          <w:tcPr>
            <w:tcW w:w="867" w:type="dxa"/>
            <w:noWrap w:val="0"/>
            <w:vAlign w:val="center"/>
          </w:tcPr>
          <w:p>
            <w:pPr>
              <w:jc w:val="left"/>
              <w:rPr>
                <w:b/>
                <w:bCs/>
                <w:color w:val="000000"/>
                <w:sz w:val="24"/>
                <w:szCs w:val="24"/>
              </w:rPr>
            </w:pPr>
            <w:r>
              <w:rPr>
                <w:rFonts w:hint="eastAsia"/>
                <w:b/>
                <w:bCs/>
                <w:color w:val="000000"/>
                <w:sz w:val="24"/>
                <w:szCs w:val="24"/>
              </w:rPr>
              <w:t>3</w:t>
            </w:r>
          </w:p>
        </w:tc>
        <w:tc>
          <w:tcPr>
            <w:tcW w:w="1230" w:type="dxa"/>
            <w:noWrap w:val="0"/>
            <w:vAlign w:val="center"/>
          </w:tcPr>
          <w:p>
            <w:pPr>
              <w:jc w:val="center"/>
              <w:rPr>
                <w:b/>
                <w:bCs/>
                <w:color w:val="000000"/>
                <w:sz w:val="24"/>
                <w:szCs w:val="24"/>
              </w:rPr>
            </w:pPr>
            <w:r>
              <w:rPr>
                <w:rFonts w:hint="eastAsia"/>
                <w:b/>
                <w:bCs/>
                <w:color w:val="000000"/>
                <w:sz w:val="24"/>
                <w:szCs w:val="24"/>
              </w:rPr>
              <w:t>一级指标</w:t>
            </w:r>
          </w:p>
        </w:tc>
        <w:tc>
          <w:tcPr>
            <w:tcW w:w="4644" w:type="dxa"/>
            <w:noWrap w:val="0"/>
            <w:vAlign w:val="center"/>
          </w:tcPr>
          <w:p>
            <w:pPr>
              <w:jc w:val="left"/>
              <w:rPr>
                <w:b/>
                <w:bCs/>
                <w:color w:val="000000"/>
                <w:sz w:val="24"/>
                <w:szCs w:val="24"/>
              </w:rPr>
            </w:pPr>
            <w:r>
              <w:rPr>
                <w:rFonts w:hint="eastAsia"/>
                <w:b/>
                <w:bCs/>
                <w:color w:val="000000"/>
                <w:sz w:val="24"/>
                <w:szCs w:val="24"/>
              </w:rPr>
              <w:t>社会评价</w:t>
            </w:r>
          </w:p>
        </w:tc>
        <w:tc>
          <w:tcPr>
            <w:tcW w:w="1781" w:type="dxa"/>
            <w:gridSpan w:val="3"/>
            <w:noWrap w:val="0"/>
            <w:vAlign w:val="center"/>
          </w:tcPr>
          <w:p>
            <w:pPr>
              <w:jc w:val="center"/>
              <w:rPr>
                <w:b/>
                <w:bCs/>
                <w:color w:val="000000"/>
                <w:sz w:val="24"/>
                <w:szCs w:val="24"/>
              </w:rPr>
            </w:pPr>
            <w:r>
              <w:rPr>
                <w:rFonts w:hint="eastAsia"/>
                <w:b/>
                <w:bCs/>
                <w:color w:val="000000"/>
                <w:sz w:val="24"/>
                <w:szCs w:val="24"/>
              </w:rPr>
              <w:t>指标权重20%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3.1</w:t>
            </w:r>
          </w:p>
        </w:tc>
        <w:tc>
          <w:tcPr>
            <w:tcW w:w="1230" w:type="dxa"/>
            <w:noWrap w:val="0"/>
            <w:vAlign w:val="center"/>
          </w:tcPr>
          <w:p>
            <w:pPr>
              <w:jc w:val="center"/>
              <w:rPr>
                <w:color w:val="000000"/>
                <w:sz w:val="24"/>
                <w:szCs w:val="24"/>
              </w:rPr>
            </w:pPr>
            <w:r>
              <w:rPr>
                <w:rFonts w:hint="eastAsia"/>
                <w:color w:val="000000"/>
                <w:sz w:val="24"/>
                <w:szCs w:val="24"/>
              </w:rPr>
              <w:t>二级指标</w:t>
            </w:r>
          </w:p>
        </w:tc>
        <w:tc>
          <w:tcPr>
            <w:tcW w:w="4644" w:type="dxa"/>
            <w:noWrap w:val="0"/>
            <w:vAlign w:val="center"/>
          </w:tcPr>
          <w:p>
            <w:pPr>
              <w:jc w:val="left"/>
              <w:rPr>
                <w:color w:val="000000"/>
                <w:sz w:val="24"/>
                <w:szCs w:val="24"/>
              </w:rPr>
            </w:pPr>
            <w:r>
              <w:rPr>
                <w:rFonts w:hint="eastAsia"/>
                <w:color w:val="000000"/>
                <w:sz w:val="24"/>
                <w:szCs w:val="24"/>
              </w:rPr>
              <w:t>观众反馈</w:t>
            </w:r>
          </w:p>
        </w:tc>
        <w:tc>
          <w:tcPr>
            <w:tcW w:w="1781" w:type="dxa"/>
            <w:gridSpan w:val="3"/>
            <w:noWrap w:val="0"/>
            <w:vAlign w:val="center"/>
          </w:tcPr>
          <w:p>
            <w:pPr>
              <w:jc w:val="center"/>
              <w:rPr>
                <w:color w:val="000000"/>
                <w:sz w:val="24"/>
                <w:szCs w:val="24"/>
              </w:rPr>
            </w:pPr>
            <w:r>
              <w:rPr>
                <w:rFonts w:hint="eastAsia"/>
                <w:color w:val="000000"/>
                <w:sz w:val="24"/>
                <w:szCs w:val="24"/>
              </w:rPr>
              <w:t>指标权重12%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定性评估指标（原始分100分）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3.1.1</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观众结构</w:t>
            </w:r>
          </w:p>
        </w:tc>
        <w:tc>
          <w:tcPr>
            <w:tcW w:w="600" w:type="dxa"/>
            <w:noWrap w:val="0"/>
            <w:vAlign w:val="center"/>
          </w:tcPr>
          <w:p>
            <w:pPr>
              <w:jc w:val="center"/>
              <w:rPr>
                <w:color w:val="000000"/>
                <w:sz w:val="24"/>
                <w:szCs w:val="24"/>
              </w:rPr>
            </w:pPr>
            <w:r>
              <w:rPr>
                <w:rFonts w:hint="eastAsia"/>
                <w:color w:val="000000"/>
                <w:sz w:val="24"/>
                <w:szCs w:val="24"/>
              </w:rPr>
              <w:t>50</w:t>
            </w:r>
          </w:p>
        </w:tc>
        <w:tc>
          <w:tcPr>
            <w:tcW w:w="636" w:type="dxa"/>
            <w:noWrap w:val="0"/>
            <w:vAlign w:val="center"/>
          </w:tcPr>
          <w:p>
            <w:pPr>
              <w:jc w:val="center"/>
              <w:rPr>
                <w:color w:val="000000"/>
                <w:sz w:val="24"/>
                <w:szCs w:val="24"/>
              </w:rPr>
            </w:pPr>
            <w:r>
              <w:rPr>
                <w:rFonts w:hint="eastAsia"/>
                <w:color w:val="000000"/>
                <w:sz w:val="24"/>
                <w:szCs w:val="24"/>
              </w:rPr>
              <w:t>43</w:t>
            </w:r>
          </w:p>
        </w:tc>
        <w:tc>
          <w:tcPr>
            <w:tcW w:w="545" w:type="dxa"/>
            <w:noWrap w:val="0"/>
            <w:vAlign w:val="center"/>
          </w:tcPr>
          <w:p>
            <w:pPr>
              <w:jc w:val="center"/>
              <w:rPr>
                <w:color w:val="000000"/>
                <w:sz w:val="24"/>
                <w:szCs w:val="24"/>
              </w:rPr>
            </w:pPr>
            <w:r>
              <w:rPr>
                <w:rFonts w:hint="eastAsia"/>
                <w:color w:val="000000"/>
                <w:sz w:val="24"/>
                <w:szCs w:val="24"/>
              </w:rPr>
              <w:t>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博物馆年均接待观众数量规模与博物馆接待能力相适应情况</w:t>
            </w:r>
          </w:p>
        </w:tc>
        <w:tc>
          <w:tcPr>
            <w:tcW w:w="600" w:type="dxa"/>
            <w:noWrap w:val="0"/>
            <w:vAlign w:val="center"/>
          </w:tcPr>
          <w:p>
            <w:pPr>
              <w:jc w:val="center"/>
              <w:rPr>
                <w:color w:val="000000"/>
                <w:sz w:val="24"/>
                <w:szCs w:val="24"/>
              </w:rPr>
            </w:pPr>
            <w:r>
              <w:rPr>
                <w:rFonts w:hint="eastAsia"/>
                <w:color w:val="000000"/>
                <w:sz w:val="24"/>
                <w:szCs w:val="24"/>
              </w:rPr>
              <w:t>25</w:t>
            </w:r>
          </w:p>
        </w:tc>
        <w:tc>
          <w:tcPr>
            <w:tcW w:w="636" w:type="dxa"/>
            <w:noWrap w:val="0"/>
            <w:vAlign w:val="center"/>
          </w:tcPr>
          <w:p>
            <w:pPr>
              <w:jc w:val="center"/>
              <w:rPr>
                <w:color w:val="000000"/>
                <w:sz w:val="24"/>
                <w:szCs w:val="24"/>
              </w:rPr>
            </w:pPr>
            <w:r>
              <w:rPr>
                <w:rFonts w:hint="eastAsia"/>
                <w:color w:val="000000"/>
                <w:sz w:val="24"/>
                <w:szCs w:val="24"/>
              </w:rPr>
              <w:t>22</w:t>
            </w:r>
          </w:p>
        </w:tc>
        <w:tc>
          <w:tcPr>
            <w:tcW w:w="545" w:type="dxa"/>
            <w:noWrap w:val="0"/>
            <w:vAlign w:val="center"/>
          </w:tcPr>
          <w:p>
            <w:pPr>
              <w:jc w:val="center"/>
              <w:rPr>
                <w:color w:val="000000"/>
                <w:sz w:val="24"/>
                <w:szCs w:val="24"/>
              </w:rPr>
            </w:pPr>
            <w:r>
              <w:rPr>
                <w:rFonts w:hint="eastAsia"/>
                <w:color w:val="000000"/>
                <w:sz w:val="24"/>
                <w:szCs w:val="24"/>
              </w:rPr>
              <w:t>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博物馆观众构成与博物馆文化主题相适应情况</w:t>
            </w:r>
          </w:p>
        </w:tc>
        <w:tc>
          <w:tcPr>
            <w:tcW w:w="600" w:type="dxa"/>
            <w:noWrap w:val="0"/>
            <w:vAlign w:val="center"/>
          </w:tcPr>
          <w:p>
            <w:pPr>
              <w:jc w:val="center"/>
              <w:rPr>
                <w:color w:val="000000"/>
                <w:sz w:val="24"/>
                <w:szCs w:val="24"/>
              </w:rPr>
            </w:pPr>
            <w:r>
              <w:rPr>
                <w:rFonts w:hint="eastAsia"/>
                <w:color w:val="000000"/>
                <w:sz w:val="24"/>
                <w:szCs w:val="24"/>
              </w:rPr>
              <w:t>25</w:t>
            </w:r>
          </w:p>
        </w:tc>
        <w:tc>
          <w:tcPr>
            <w:tcW w:w="636" w:type="dxa"/>
            <w:noWrap w:val="0"/>
            <w:vAlign w:val="center"/>
          </w:tcPr>
          <w:p>
            <w:pPr>
              <w:jc w:val="center"/>
              <w:rPr>
                <w:color w:val="000000"/>
                <w:sz w:val="24"/>
                <w:szCs w:val="24"/>
              </w:rPr>
            </w:pPr>
            <w:r>
              <w:rPr>
                <w:rFonts w:hint="eastAsia"/>
                <w:color w:val="000000"/>
                <w:sz w:val="24"/>
                <w:szCs w:val="24"/>
              </w:rPr>
              <w:t>21</w:t>
            </w:r>
          </w:p>
        </w:tc>
        <w:tc>
          <w:tcPr>
            <w:tcW w:w="545" w:type="dxa"/>
            <w:noWrap w:val="0"/>
            <w:vAlign w:val="center"/>
          </w:tcPr>
          <w:p>
            <w:pPr>
              <w:jc w:val="center"/>
              <w:rPr>
                <w:color w:val="000000"/>
                <w:sz w:val="24"/>
                <w:szCs w:val="24"/>
              </w:rPr>
            </w:pPr>
            <w:r>
              <w:rPr>
                <w:rFonts w:hint="eastAsia"/>
                <w:color w:val="000000"/>
                <w:sz w:val="24"/>
                <w:szCs w:val="24"/>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3.1.2</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观众满意度</w:t>
            </w:r>
          </w:p>
        </w:tc>
        <w:tc>
          <w:tcPr>
            <w:tcW w:w="600" w:type="dxa"/>
            <w:noWrap w:val="0"/>
            <w:vAlign w:val="center"/>
          </w:tcPr>
          <w:p>
            <w:pPr>
              <w:jc w:val="center"/>
              <w:rPr>
                <w:color w:val="000000"/>
                <w:sz w:val="24"/>
                <w:szCs w:val="24"/>
              </w:rPr>
            </w:pPr>
            <w:r>
              <w:rPr>
                <w:rFonts w:hint="eastAsia"/>
                <w:color w:val="000000"/>
                <w:sz w:val="24"/>
                <w:szCs w:val="24"/>
              </w:rPr>
              <w:t>50</w:t>
            </w:r>
          </w:p>
        </w:tc>
        <w:tc>
          <w:tcPr>
            <w:tcW w:w="636" w:type="dxa"/>
            <w:noWrap w:val="0"/>
            <w:vAlign w:val="center"/>
          </w:tcPr>
          <w:p>
            <w:pPr>
              <w:jc w:val="center"/>
              <w:rPr>
                <w:color w:val="000000"/>
                <w:sz w:val="24"/>
                <w:szCs w:val="24"/>
              </w:rPr>
            </w:pPr>
            <w:r>
              <w:rPr>
                <w:rFonts w:hint="eastAsia"/>
                <w:color w:val="000000"/>
                <w:sz w:val="24"/>
                <w:szCs w:val="24"/>
              </w:rPr>
              <w:t>57</w:t>
            </w:r>
          </w:p>
        </w:tc>
        <w:tc>
          <w:tcPr>
            <w:tcW w:w="545" w:type="dxa"/>
            <w:noWrap w:val="0"/>
            <w:vAlign w:val="center"/>
          </w:tcPr>
          <w:p>
            <w:pPr>
              <w:jc w:val="center"/>
              <w:rPr>
                <w:color w:val="000000"/>
                <w:sz w:val="24"/>
                <w:szCs w:val="24"/>
              </w:rPr>
            </w:pPr>
            <w:r>
              <w:rPr>
                <w:rFonts w:hint="eastAsia"/>
                <w:color w:val="000000"/>
                <w:sz w:val="24"/>
                <w:szCs w:val="24"/>
              </w:rPr>
              <w:t>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博物馆观众调查制度建设与调查工作开展情况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9</w:t>
            </w:r>
          </w:p>
        </w:tc>
        <w:tc>
          <w:tcPr>
            <w:tcW w:w="545" w:type="dxa"/>
            <w:noWrap w:val="0"/>
            <w:vAlign w:val="center"/>
          </w:tcPr>
          <w:p>
            <w:pPr>
              <w:jc w:val="center"/>
              <w:rPr>
                <w:color w:val="000000"/>
                <w:sz w:val="24"/>
                <w:szCs w:val="24"/>
              </w:rPr>
            </w:pPr>
            <w:r>
              <w:rPr>
                <w:rFonts w:hint="eastAsia"/>
                <w:color w:val="000000"/>
                <w:sz w:val="24"/>
                <w:szCs w:val="24"/>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近期观众调查反映的观众调查满意度情况</w:t>
            </w:r>
          </w:p>
        </w:tc>
        <w:tc>
          <w:tcPr>
            <w:tcW w:w="600" w:type="dxa"/>
            <w:noWrap w:val="0"/>
            <w:vAlign w:val="center"/>
          </w:tcPr>
          <w:p>
            <w:pPr>
              <w:jc w:val="center"/>
              <w:rPr>
                <w:color w:val="000000"/>
                <w:sz w:val="24"/>
                <w:szCs w:val="24"/>
              </w:rPr>
            </w:pPr>
            <w:r>
              <w:rPr>
                <w:rFonts w:hint="eastAsia"/>
                <w:color w:val="000000"/>
                <w:sz w:val="24"/>
                <w:szCs w:val="24"/>
              </w:rPr>
              <w:t>22</w:t>
            </w:r>
          </w:p>
        </w:tc>
        <w:tc>
          <w:tcPr>
            <w:tcW w:w="636" w:type="dxa"/>
            <w:noWrap w:val="0"/>
            <w:vAlign w:val="center"/>
          </w:tcPr>
          <w:p>
            <w:pPr>
              <w:jc w:val="center"/>
              <w:rPr>
                <w:color w:val="000000"/>
                <w:sz w:val="24"/>
                <w:szCs w:val="24"/>
              </w:rPr>
            </w:pPr>
            <w:r>
              <w:rPr>
                <w:rFonts w:hint="eastAsia"/>
                <w:color w:val="000000"/>
                <w:sz w:val="24"/>
                <w:szCs w:val="24"/>
              </w:rPr>
              <w:t>29</w:t>
            </w:r>
          </w:p>
        </w:tc>
        <w:tc>
          <w:tcPr>
            <w:tcW w:w="545" w:type="dxa"/>
            <w:noWrap w:val="0"/>
            <w:vAlign w:val="center"/>
          </w:tcPr>
          <w:p>
            <w:pPr>
              <w:jc w:val="center"/>
              <w:rPr>
                <w:color w:val="000000"/>
                <w:sz w:val="24"/>
                <w:szCs w:val="24"/>
              </w:rPr>
            </w:pPr>
            <w:r>
              <w:rPr>
                <w:rFonts w:hint="eastAsia"/>
                <w:color w:val="000000"/>
                <w:sz w:val="24"/>
                <w:szCs w:val="24"/>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观众对博物馆的展览、环境、服务等方面</w:t>
            </w:r>
            <w:r>
              <w:rPr>
                <w:rFonts w:hint="eastAsia"/>
                <w:color w:val="000000"/>
                <w:sz w:val="24"/>
                <w:szCs w:val="24"/>
                <w:lang w:eastAsia="zh-CN"/>
              </w:rPr>
              <w:t>作</w:t>
            </w:r>
            <w:r>
              <w:rPr>
                <w:rFonts w:hint="eastAsia"/>
                <w:color w:val="000000"/>
                <w:sz w:val="24"/>
                <w:szCs w:val="24"/>
              </w:rPr>
              <w:t>出的总体评价</w:t>
            </w:r>
          </w:p>
        </w:tc>
        <w:tc>
          <w:tcPr>
            <w:tcW w:w="600" w:type="dxa"/>
            <w:noWrap w:val="0"/>
            <w:vAlign w:val="center"/>
          </w:tcPr>
          <w:p>
            <w:pPr>
              <w:jc w:val="center"/>
              <w:rPr>
                <w:color w:val="000000"/>
                <w:sz w:val="24"/>
                <w:szCs w:val="24"/>
              </w:rPr>
            </w:pPr>
            <w:r>
              <w:rPr>
                <w:rFonts w:hint="eastAsia"/>
                <w:color w:val="000000"/>
                <w:sz w:val="24"/>
                <w:szCs w:val="24"/>
              </w:rPr>
              <w:t>18</w:t>
            </w:r>
          </w:p>
        </w:tc>
        <w:tc>
          <w:tcPr>
            <w:tcW w:w="636" w:type="dxa"/>
            <w:noWrap w:val="0"/>
            <w:vAlign w:val="center"/>
          </w:tcPr>
          <w:p>
            <w:pPr>
              <w:jc w:val="center"/>
              <w:rPr>
                <w:color w:val="000000"/>
                <w:sz w:val="24"/>
                <w:szCs w:val="24"/>
              </w:rPr>
            </w:pPr>
            <w:r>
              <w:rPr>
                <w:rFonts w:hint="eastAsia"/>
                <w:color w:val="000000"/>
                <w:sz w:val="24"/>
                <w:szCs w:val="24"/>
              </w:rPr>
              <w:t>19</w:t>
            </w:r>
          </w:p>
        </w:tc>
        <w:tc>
          <w:tcPr>
            <w:tcW w:w="545" w:type="dxa"/>
            <w:noWrap w:val="0"/>
            <w:vAlign w:val="center"/>
          </w:tcPr>
          <w:p>
            <w:pPr>
              <w:jc w:val="center"/>
              <w:rPr>
                <w:color w:val="000000"/>
                <w:sz w:val="24"/>
                <w:szCs w:val="24"/>
              </w:rPr>
            </w:pPr>
            <w:r>
              <w:rPr>
                <w:rFonts w:hint="eastAsia"/>
                <w:color w:val="000000"/>
                <w:sz w:val="24"/>
                <w:szCs w:val="24"/>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定量评估指标（原始分100分）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年度观众总数（基础分：10000人次/分）</w:t>
            </w:r>
          </w:p>
        </w:tc>
        <w:tc>
          <w:tcPr>
            <w:tcW w:w="600" w:type="dxa"/>
            <w:noWrap w:val="0"/>
            <w:vAlign w:val="center"/>
          </w:tcPr>
          <w:p>
            <w:pPr>
              <w:jc w:val="center"/>
              <w:rPr>
                <w:color w:val="000000"/>
                <w:sz w:val="24"/>
                <w:szCs w:val="24"/>
              </w:rPr>
            </w:pPr>
            <w:r>
              <w:rPr>
                <w:rFonts w:hint="eastAsia"/>
                <w:color w:val="000000"/>
                <w:sz w:val="24"/>
                <w:szCs w:val="24"/>
              </w:rPr>
              <w:t>20</w:t>
            </w:r>
          </w:p>
        </w:tc>
        <w:tc>
          <w:tcPr>
            <w:tcW w:w="636" w:type="dxa"/>
            <w:noWrap w:val="0"/>
            <w:vAlign w:val="center"/>
          </w:tcPr>
          <w:p>
            <w:pPr>
              <w:jc w:val="center"/>
              <w:rPr>
                <w:color w:val="000000"/>
                <w:sz w:val="24"/>
                <w:szCs w:val="24"/>
              </w:rPr>
            </w:pPr>
            <w:r>
              <w:rPr>
                <w:rFonts w:hint="eastAsia"/>
                <w:color w:val="000000"/>
                <w:sz w:val="24"/>
                <w:szCs w:val="24"/>
              </w:rPr>
              <w:t>20</w:t>
            </w:r>
          </w:p>
        </w:tc>
        <w:tc>
          <w:tcPr>
            <w:tcW w:w="545" w:type="dxa"/>
            <w:noWrap w:val="0"/>
            <w:vAlign w:val="center"/>
          </w:tcPr>
          <w:p>
            <w:pPr>
              <w:jc w:val="center"/>
              <w:rPr>
                <w:color w:val="000000"/>
                <w:sz w:val="24"/>
                <w:szCs w:val="24"/>
              </w:rPr>
            </w:pPr>
            <w:r>
              <w:rPr>
                <w:rFonts w:hint="eastAsia"/>
                <w:color w:val="000000"/>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临时展览参观人数（基础分：10000人次/分）</w:t>
            </w:r>
          </w:p>
        </w:tc>
        <w:tc>
          <w:tcPr>
            <w:tcW w:w="600" w:type="dxa"/>
            <w:noWrap w:val="0"/>
            <w:vAlign w:val="center"/>
          </w:tcPr>
          <w:p>
            <w:pPr>
              <w:jc w:val="center"/>
              <w:rPr>
                <w:color w:val="000000"/>
                <w:sz w:val="24"/>
                <w:szCs w:val="24"/>
              </w:rPr>
            </w:pPr>
            <w:r>
              <w:rPr>
                <w:rFonts w:hint="eastAsia"/>
                <w:color w:val="000000"/>
                <w:sz w:val="24"/>
                <w:szCs w:val="24"/>
              </w:rPr>
              <w:t>20</w:t>
            </w:r>
          </w:p>
        </w:tc>
        <w:tc>
          <w:tcPr>
            <w:tcW w:w="636" w:type="dxa"/>
            <w:noWrap w:val="0"/>
            <w:vAlign w:val="center"/>
          </w:tcPr>
          <w:p>
            <w:pPr>
              <w:jc w:val="center"/>
              <w:rPr>
                <w:color w:val="000000"/>
                <w:sz w:val="24"/>
                <w:szCs w:val="24"/>
              </w:rPr>
            </w:pPr>
            <w:r>
              <w:rPr>
                <w:rFonts w:hint="eastAsia"/>
                <w:color w:val="000000"/>
                <w:sz w:val="24"/>
                <w:szCs w:val="24"/>
              </w:rPr>
              <w:t>20</w:t>
            </w:r>
          </w:p>
        </w:tc>
        <w:tc>
          <w:tcPr>
            <w:tcW w:w="545" w:type="dxa"/>
            <w:noWrap w:val="0"/>
            <w:vAlign w:val="center"/>
          </w:tcPr>
          <w:p>
            <w:pPr>
              <w:jc w:val="center"/>
              <w:rPr>
                <w:color w:val="000000"/>
                <w:sz w:val="24"/>
                <w:szCs w:val="24"/>
              </w:rPr>
            </w:pPr>
            <w:r>
              <w:rPr>
                <w:rFonts w:hint="eastAsia"/>
                <w:color w:val="000000"/>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未成年观众人数（基础分：10000人次/分）</w:t>
            </w:r>
          </w:p>
        </w:tc>
        <w:tc>
          <w:tcPr>
            <w:tcW w:w="600" w:type="dxa"/>
            <w:noWrap w:val="0"/>
            <w:vAlign w:val="center"/>
          </w:tcPr>
          <w:p>
            <w:pPr>
              <w:jc w:val="center"/>
              <w:rPr>
                <w:color w:val="000000"/>
                <w:sz w:val="24"/>
                <w:szCs w:val="24"/>
              </w:rPr>
            </w:pPr>
            <w:r>
              <w:rPr>
                <w:rFonts w:hint="eastAsia"/>
                <w:color w:val="000000"/>
                <w:sz w:val="24"/>
                <w:szCs w:val="24"/>
              </w:rPr>
              <w:t>15</w:t>
            </w:r>
          </w:p>
        </w:tc>
        <w:tc>
          <w:tcPr>
            <w:tcW w:w="636" w:type="dxa"/>
            <w:noWrap w:val="0"/>
            <w:vAlign w:val="center"/>
          </w:tcPr>
          <w:p>
            <w:pPr>
              <w:jc w:val="center"/>
              <w:rPr>
                <w:color w:val="000000"/>
                <w:sz w:val="24"/>
                <w:szCs w:val="24"/>
              </w:rPr>
            </w:pPr>
            <w:r>
              <w:rPr>
                <w:rFonts w:hint="eastAsia"/>
                <w:color w:val="000000"/>
                <w:sz w:val="24"/>
                <w:szCs w:val="24"/>
              </w:rPr>
              <w:t>15</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国（境）外观众人数（基础分：10000人次/分）</w:t>
            </w:r>
          </w:p>
        </w:tc>
        <w:tc>
          <w:tcPr>
            <w:tcW w:w="600" w:type="dxa"/>
            <w:noWrap w:val="0"/>
            <w:vAlign w:val="center"/>
          </w:tcPr>
          <w:p>
            <w:pPr>
              <w:jc w:val="center"/>
              <w:rPr>
                <w:color w:val="000000"/>
                <w:sz w:val="24"/>
                <w:szCs w:val="24"/>
              </w:rPr>
            </w:pPr>
            <w:r>
              <w:rPr>
                <w:rFonts w:hint="eastAsia"/>
                <w:color w:val="000000"/>
                <w:sz w:val="24"/>
                <w:szCs w:val="24"/>
              </w:rPr>
              <w:t>15</w:t>
            </w:r>
          </w:p>
        </w:tc>
        <w:tc>
          <w:tcPr>
            <w:tcW w:w="636" w:type="dxa"/>
            <w:noWrap w:val="0"/>
            <w:vAlign w:val="center"/>
          </w:tcPr>
          <w:p>
            <w:pPr>
              <w:jc w:val="center"/>
              <w:rPr>
                <w:color w:val="000000"/>
                <w:sz w:val="24"/>
                <w:szCs w:val="24"/>
              </w:rPr>
            </w:pPr>
            <w:r>
              <w:rPr>
                <w:rFonts w:hint="eastAsia"/>
                <w:color w:val="000000"/>
                <w:sz w:val="24"/>
                <w:szCs w:val="24"/>
              </w:rPr>
              <w:t>15</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免费参观人数（基础分：10000人次/分）</w:t>
            </w:r>
          </w:p>
        </w:tc>
        <w:tc>
          <w:tcPr>
            <w:tcW w:w="600" w:type="dxa"/>
            <w:noWrap w:val="0"/>
            <w:vAlign w:val="center"/>
          </w:tcPr>
          <w:p>
            <w:pPr>
              <w:jc w:val="center"/>
              <w:rPr>
                <w:color w:val="000000"/>
                <w:sz w:val="24"/>
                <w:szCs w:val="24"/>
              </w:rPr>
            </w:pPr>
            <w:r>
              <w:rPr>
                <w:rFonts w:hint="eastAsia"/>
                <w:color w:val="000000"/>
                <w:sz w:val="24"/>
                <w:szCs w:val="24"/>
              </w:rPr>
              <w:t>15</w:t>
            </w:r>
          </w:p>
        </w:tc>
        <w:tc>
          <w:tcPr>
            <w:tcW w:w="636" w:type="dxa"/>
            <w:noWrap w:val="0"/>
            <w:vAlign w:val="center"/>
          </w:tcPr>
          <w:p>
            <w:pPr>
              <w:jc w:val="center"/>
              <w:rPr>
                <w:color w:val="000000"/>
                <w:sz w:val="24"/>
                <w:szCs w:val="24"/>
              </w:rPr>
            </w:pPr>
            <w:r>
              <w:rPr>
                <w:rFonts w:hint="eastAsia"/>
                <w:color w:val="000000"/>
                <w:sz w:val="24"/>
                <w:szCs w:val="24"/>
              </w:rPr>
              <w:t>15</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ascii="宋体" w:hAnsi="宋体"/>
                <w:color w:val="000000"/>
                <w:kern w:val="0"/>
                <w:sz w:val="24"/>
                <w:szCs w:val="24"/>
              </w:rPr>
              <w:t>受控参观人数</w:t>
            </w:r>
            <w:r>
              <w:rPr>
                <w:rFonts w:hint="eastAsia"/>
                <w:color w:val="000000"/>
                <w:sz w:val="24"/>
                <w:szCs w:val="24"/>
              </w:rPr>
              <w:t>（基础分：10000人次/分）</w:t>
            </w:r>
          </w:p>
        </w:tc>
        <w:tc>
          <w:tcPr>
            <w:tcW w:w="600" w:type="dxa"/>
            <w:noWrap w:val="0"/>
            <w:vAlign w:val="center"/>
          </w:tcPr>
          <w:p>
            <w:pPr>
              <w:jc w:val="center"/>
              <w:rPr>
                <w:color w:val="000000"/>
                <w:sz w:val="24"/>
                <w:szCs w:val="24"/>
              </w:rPr>
            </w:pPr>
            <w:r>
              <w:rPr>
                <w:rFonts w:hint="eastAsia"/>
                <w:color w:val="000000"/>
                <w:sz w:val="24"/>
                <w:szCs w:val="24"/>
              </w:rPr>
              <w:t>15</w:t>
            </w:r>
          </w:p>
        </w:tc>
        <w:tc>
          <w:tcPr>
            <w:tcW w:w="636" w:type="dxa"/>
            <w:noWrap w:val="0"/>
            <w:vAlign w:val="center"/>
          </w:tcPr>
          <w:p>
            <w:pPr>
              <w:jc w:val="center"/>
              <w:rPr>
                <w:color w:val="000000"/>
                <w:sz w:val="24"/>
                <w:szCs w:val="24"/>
              </w:rPr>
            </w:pPr>
            <w:r>
              <w:rPr>
                <w:rFonts w:hint="eastAsia"/>
                <w:color w:val="000000"/>
                <w:sz w:val="24"/>
                <w:szCs w:val="24"/>
              </w:rPr>
              <w:t>15</w:t>
            </w:r>
          </w:p>
        </w:tc>
        <w:tc>
          <w:tcPr>
            <w:tcW w:w="545" w:type="dxa"/>
            <w:noWrap w:val="0"/>
            <w:vAlign w:val="center"/>
          </w:tcPr>
          <w:p>
            <w:pPr>
              <w:jc w:val="center"/>
              <w:rPr>
                <w:color w:val="000000"/>
                <w:sz w:val="24"/>
                <w:szCs w:val="24"/>
              </w:rPr>
            </w:pPr>
            <w:r>
              <w:rPr>
                <w:rFonts w:hint="eastAsia"/>
                <w:color w:val="000000"/>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3.2</w:t>
            </w:r>
          </w:p>
        </w:tc>
        <w:tc>
          <w:tcPr>
            <w:tcW w:w="1230" w:type="dxa"/>
            <w:noWrap w:val="0"/>
            <w:vAlign w:val="center"/>
          </w:tcPr>
          <w:p>
            <w:pPr>
              <w:jc w:val="center"/>
              <w:rPr>
                <w:color w:val="000000"/>
                <w:sz w:val="24"/>
                <w:szCs w:val="24"/>
              </w:rPr>
            </w:pPr>
            <w:r>
              <w:rPr>
                <w:rFonts w:hint="eastAsia"/>
                <w:color w:val="000000"/>
                <w:sz w:val="24"/>
                <w:szCs w:val="24"/>
              </w:rPr>
              <w:t>二级指标</w:t>
            </w:r>
          </w:p>
        </w:tc>
        <w:tc>
          <w:tcPr>
            <w:tcW w:w="4644" w:type="dxa"/>
            <w:noWrap w:val="0"/>
            <w:vAlign w:val="center"/>
          </w:tcPr>
          <w:p>
            <w:pPr>
              <w:jc w:val="left"/>
              <w:rPr>
                <w:color w:val="000000"/>
                <w:sz w:val="24"/>
                <w:szCs w:val="24"/>
              </w:rPr>
            </w:pPr>
            <w:r>
              <w:rPr>
                <w:rFonts w:hint="eastAsia"/>
                <w:color w:val="000000"/>
                <w:sz w:val="24"/>
                <w:szCs w:val="24"/>
              </w:rPr>
              <w:t>社会影响</w:t>
            </w:r>
          </w:p>
        </w:tc>
        <w:tc>
          <w:tcPr>
            <w:tcW w:w="1781" w:type="dxa"/>
            <w:gridSpan w:val="3"/>
            <w:noWrap w:val="0"/>
            <w:vAlign w:val="center"/>
          </w:tcPr>
          <w:p>
            <w:pPr>
              <w:jc w:val="center"/>
              <w:rPr>
                <w:color w:val="000000"/>
                <w:sz w:val="24"/>
                <w:szCs w:val="24"/>
              </w:rPr>
            </w:pPr>
            <w:r>
              <w:rPr>
                <w:rFonts w:hint="eastAsia"/>
                <w:color w:val="000000"/>
                <w:sz w:val="24"/>
                <w:szCs w:val="24"/>
              </w:rPr>
              <w:t>指标权重8%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定性评估指标（原始分100分）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3.2.1</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社会关注度</w:t>
            </w:r>
          </w:p>
        </w:tc>
        <w:tc>
          <w:tcPr>
            <w:tcW w:w="600" w:type="dxa"/>
            <w:noWrap w:val="0"/>
            <w:vAlign w:val="center"/>
          </w:tcPr>
          <w:p>
            <w:pPr>
              <w:jc w:val="center"/>
              <w:rPr>
                <w:color w:val="000000"/>
                <w:sz w:val="24"/>
                <w:szCs w:val="24"/>
              </w:rPr>
            </w:pPr>
            <w:r>
              <w:rPr>
                <w:rFonts w:hint="eastAsia"/>
                <w:color w:val="000000"/>
                <w:sz w:val="24"/>
                <w:szCs w:val="24"/>
              </w:rPr>
              <w:t>60</w:t>
            </w:r>
          </w:p>
        </w:tc>
        <w:tc>
          <w:tcPr>
            <w:tcW w:w="636" w:type="dxa"/>
            <w:noWrap w:val="0"/>
            <w:vAlign w:val="center"/>
          </w:tcPr>
          <w:p>
            <w:pPr>
              <w:jc w:val="center"/>
              <w:rPr>
                <w:color w:val="000000"/>
                <w:sz w:val="24"/>
                <w:szCs w:val="24"/>
              </w:rPr>
            </w:pPr>
            <w:r>
              <w:rPr>
                <w:rFonts w:hint="eastAsia"/>
                <w:color w:val="000000"/>
                <w:sz w:val="24"/>
                <w:szCs w:val="24"/>
              </w:rPr>
              <w:t>50</w:t>
            </w:r>
          </w:p>
        </w:tc>
        <w:tc>
          <w:tcPr>
            <w:tcW w:w="545" w:type="dxa"/>
            <w:noWrap w:val="0"/>
            <w:vAlign w:val="center"/>
          </w:tcPr>
          <w:p>
            <w:pPr>
              <w:jc w:val="center"/>
              <w:rPr>
                <w:color w:val="000000"/>
                <w:sz w:val="24"/>
                <w:szCs w:val="24"/>
              </w:rPr>
            </w:pPr>
            <w:r>
              <w:rPr>
                <w:rFonts w:hint="eastAsia"/>
                <w:color w:val="000000"/>
                <w:sz w:val="24"/>
                <w:szCs w:val="24"/>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互联网公开数据显示的博物馆公众关注程度情况</w:t>
            </w:r>
          </w:p>
        </w:tc>
        <w:tc>
          <w:tcPr>
            <w:tcW w:w="600" w:type="dxa"/>
            <w:noWrap w:val="0"/>
            <w:vAlign w:val="center"/>
          </w:tcPr>
          <w:p>
            <w:pPr>
              <w:jc w:val="center"/>
              <w:rPr>
                <w:color w:val="000000"/>
                <w:sz w:val="24"/>
                <w:szCs w:val="24"/>
              </w:rPr>
            </w:pPr>
            <w:r>
              <w:rPr>
                <w:rFonts w:hint="eastAsia"/>
                <w:color w:val="000000"/>
                <w:sz w:val="24"/>
                <w:szCs w:val="24"/>
              </w:rPr>
              <w:t>30</w:t>
            </w:r>
          </w:p>
        </w:tc>
        <w:tc>
          <w:tcPr>
            <w:tcW w:w="636" w:type="dxa"/>
            <w:noWrap w:val="0"/>
            <w:vAlign w:val="center"/>
          </w:tcPr>
          <w:p>
            <w:pPr>
              <w:jc w:val="center"/>
              <w:rPr>
                <w:color w:val="000000"/>
                <w:sz w:val="24"/>
                <w:szCs w:val="24"/>
              </w:rPr>
            </w:pPr>
            <w:r>
              <w:rPr>
                <w:rFonts w:hint="eastAsia"/>
                <w:color w:val="000000"/>
                <w:sz w:val="24"/>
                <w:szCs w:val="24"/>
              </w:rPr>
              <w:t>25</w:t>
            </w:r>
          </w:p>
        </w:tc>
        <w:tc>
          <w:tcPr>
            <w:tcW w:w="545" w:type="dxa"/>
            <w:noWrap w:val="0"/>
            <w:vAlign w:val="center"/>
          </w:tcPr>
          <w:p>
            <w:pPr>
              <w:jc w:val="center"/>
              <w:rPr>
                <w:color w:val="000000"/>
                <w:sz w:val="24"/>
                <w:szCs w:val="24"/>
              </w:rPr>
            </w:pPr>
            <w:r>
              <w:rPr>
                <w:rFonts w:hint="eastAsia"/>
                <w:color w:val="000000"/>
                <w:sz w:val="24"/>
                <w:szCs w:val="24"/>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互联网公开数据显示的博物馆媒体关注程度情况</w:t>
            </w:r>
          </w:p>
        </w:tc>
        <w:tc>
          <w:tcPr>
            <w:tcW w:w="600" w:type="dxa"/>
            <w:noWrap w:val="0"/>
            <w:vAlign w:val="center"/>
          </w:tcPr>
          <w:p>
            <w:pPr>
              <w:jc w:val="center"/>
              <w:rPr>
                <w:color w:val="000000"/>
                <w:sz w:val="24"/>
                <w:szCs w:val="24"/>
              </w:rPr>
            </w:pPr>
            <w:r>
              <w:rPr>
                <w:rFonts w:hint="eastAsia"/>
                <w:color w:val="000000"/>
                <w:sz w:val="24"/>
                <w:szCs w:val="24"/>
              </w:rPr>
              <w:t>30</w:t>
            </w:r>
          </w:p>
        </w:tc>
        <w:tc>
          <w:tcPr>
            <w:tcW w:w="636" w:type="dxa"/>
            <w:noWrap w:val="0"/>
            <w:vAlign w:val="center"/>
          </w:tcPr>
          <w:p>
            <w:pPr>
              <w:jc w:val="center"/>
              <w:rPr>
                <w:color w:val="000000"/>
                <w:sz w:val="24"/>
                <w:szCs w:val="24"/>
              </w:rPr>
            </w:pPr>
            <w:r>
              <w:rPr>
                <w:rFonts w:hint="eastAsia"/>
                <w:color w:val="000000"/>
                <w:sz w:val="24"/>
                <w:szCs w:val="24"/>
              </w:rPr>
              <w:t>25</w:t>
            </w:r>
          </w:p>
        </w:tc>
        <w:tc>
          <w:tcPr>
            <w:tcW w:w="545" w:type="dxa"/>
            <w:noWrap w:val="0"/>
            <w:vAlign w:val="center"/>
          </w:tcPr>
          <w:p>
            <w:pPr>
              <w:jc w:val="center"/>
              <w:rPr>
                <w:color w:val="000000"/>
                <w:sz w:val="24"/>
                <w:szCs w:val="24"/>
              </w:rPr>
            </w:pPr>
            <w:r>
              <w:rPr>
                <w:rFonts w:hint="eastAsia"/>
                <w:color w:val="000000"/>
                <w:sz w:val="24"/>
                <w:szCs w:val="24"/>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3.2.2</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奖励与荣誉</w:t>
            </w:r>
          </w:p>
        </w:tc>
        <w:tc>
          <w:tcPr>
            <w:tcW w:w="600" w:type="dxa"/>
            <w:noWrap w:val="0"/>
            <w:vAlign w:val="center"/>
          </w:tcPr>
          <w:p>
            <w:pPr>
              <w:jc w:val="center"/>
              <w:rPr>
                <w:color w:val="000000"/>
                <w:sz w:val="24"/>
                <w:szCs w:val="24"/>
              </w:rPr>
            </w:pPr>
            <w:r>
              <w:rPr>
                <w:rFonts w:hint="eastAsia"/>
                <w:color w:val="000000"/>
                <w:sz w:val="24"/>
                <w:szCs w:val="24"/>
              </w:rPr>
              <w:t>20</w:t>
            </w:r>
          </w:p>
        </w:tc>
        <w:tc>
          <w:tcPr>
            <w:tcW w:w="636" w:type="dxa"/>
            <w:noWrap w:val="0"/>
            <w:vAlign w:val="center"/>
          </w:tcPr>
          <w:p>
            <w:pPr>
              <w:jc w:val="center"/>
              <w:rPr>
                <w:color w:val="000000"/>
                <w:sz w:val="24"/>
                <w:szCs w:val="24"/>
              </w:rPr>
            </w:pPr>
            <w:r>
              <w:rPr>
                <w:rFonts w:hint="eastAsia"/>
                <w:color w:val="000000"/>
                <w:sz w:val="24"/>
                <w:szCs w:val="24"/>
              </w:rPr>
              <w:t>25</w:t>
            </w:r>
          </w:p>
        </w:tc>
        <w:tc>
          <w:tcPr>
            <w:tcW w:w="545" w:type="dxa"/>
            <w:noWrap w:val="0"/>
            <w:vAlign w:val="center"/>
          </w:tcPr>
          <w:p>
            <w:pPr>
              <w:jc w:val="center"/>
              <w:rPr>
                <w:color w:val="000000"/>
                <w:sz w:val="24"/>
                <w:szCs w:val="24"/>
              </w:rPr>
            </w:pPr>
            <w:r>
              <w:rPr>
                <w:rFonts w:hint="eastAsia"/>
                <w:color w:val="000000"/>
                <w:sz w:val="24"/>
                <w:szCs w:val="24"/>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评估周期内，党委、政府或社会组织授予博物馆的组织荣誉与奖励情况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13</w:t>
            </w:r>
          </w:p>
        </w:tc>
        <w:tc>
          <w:tcPr>
            <w:tcW w:w="545" w:type="dxa"/>
            <w:noWrap w:val="0"/>
            <w:vAlign w:val="center"/>
          </w:tcPr>
          <w:p>
            <w:pPr>
              <w:jc w:val="center"/>
              <w:rPr>
                <w:color w:val="000000"/>
                <w:sz w:val="24"/>
                <w:szCs w:val="24"/>
              </w:rPr>
            </w:pPr>
            <w:r>
              <w:rPr>
                <w:rFonts w:hint="eastAsia"/>
                <w:color w:val="000000"/>
                <w:sz w:val="24"/>
                <w:szCs w:val="24"/>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评估周期内，党委、政府或社会组织授予博物馆员工的个人荣誉与奖励情况</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12</w:t>
            </w:r>
          </w:p>
        </w:tc>
        <w:tc>
          <w:tcPr>
            <w:tcW w:w="545" w:type="dxa"/>
            <w:noWrap w:val="0"/>
            <w:vAlign w:val="center"/>
          </w:tcPr>
          <w:p>
            <w:pPr>
              <w:jc w:val="center"/>
              <w:rPr>
                <w:color w:val="000000"/>
                <w:sz w:val="24"/>
                <w:szCs w:val="24"/>
              </w:rPr>
            </w:pPr>
            <w:r>
              <w:rPr>
                <w:rFonts w:hint="eastAsia"/>
                <w:color w:val="000000"/>
                <w:sz w:val="24"/>
                <w:szCs w:val="24"/>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3.2.3</w:t>
            </w:r>
          </w:p>
        </w:tc>
        <w:tc>
          <w:tcPr>
            <w:tcW w:w="1230" w:type="dxa"/>
            <w:noWrap w:val="0"/>
            <w:vAlign w:val="center"/>
          </w:tcPr>
          <w:p>
            <w:pPr>
              <w:jc w:val="center"/>
              <w:rPr>
                <w:color w:val="000000"/>
                <w:sz w:val="24"/>
                <w:szCs w:val="24"/>
              </w:rPr>
            </w:pPr>
            <w:r>
              <w:rPr>
                <w:rFonts w:hint="eastAsia"/>
                <w:color w:val="000000"/>
                <w:sz w:val="24"/>
                <w:szCs w:val="24"/>
              </w:rPr>
              <w:t>三级指标</w:t>
            </w:r>
          </w:p>
        </w:tc>
        <w:tc>
          <w:tcPr>
            <w:tcW w:w="4644" w:type="dxa"/>
            <w:noWrap w:val="0"/>
            <w:vAlign w:val="center"/>
          </w:tcPr>
          <w:p>
            <w:pPr>
              <w:jc w:val="left"/>
              <w:rPr>
                <w:color w:val="000000"/>
                <w:sz w:val="24"/>
                <w:szCs w:val="24"/>
              </w:rPr>
            </w:pPr>
            <w:r>
              <w:rPr>
                <w:rFonts w:hint="eastAsia"/>
                <w:color w:val="000000"/>
                <w:sz w:val="24"/>
                <w:szCs w:val="24"/>
              </w:rPr>
              <w:t>公众参与</w:t>
            </w:r>
          </w:p>
        </w:tc>
        <w:tc>
          <w:tcPr>
            <w:tcW w:w="600" w:type="dxa"/>
            <w:noWrap w:val="0"/>
            <w:vAlign w:val="center"/>
          </w:tcPr>
          <w:p>
            <w:pPr>
              <w:jc w:val="center"/>
              <w:rPr>
                <w:color w:val="000000"/>
                <w:sz w:val="24"/>
                <w:szCs w:val="24"/>
              </w:rPr>
            </w:pPr>
            <w:r>
              <w:rPr>
                <w:rFonts w:hint="eastAsia"/>
                <w:color w:val="000000"/>
                <w:sz w:val="24"/>
                <w:szCs w:val="24"/>
              </w:rPr>
              <w:t>20</w:t>
            </w:r>
          </w:p>
        </w:tc>
        <w:tc>
          <w:tcPr>
            <w:tcW w:w="636" w:type="dxa"/>
            <w:noWrap w:val="0"/>
            <w:vAlign w:val="center"/>
          </w:tcPr>
          <w:p>
            <w:pPr>
              <w:jc w:val="center"/>
              <w:rPr>
                <w:color w:val="000000"/>
                <w:sz w:val="24"/>
                <w:szCs w:val="24"/>
              </w:rPr>
            </w:pPr>
            <w:r>
              <w:rPr>
                <w:rFonts w:hint="eastAsia"/>
                <w:color w:val="000000"/>
                <w:sz w:val="24"/>
                <w:szCs w:val="24"/>
              </w:rPr>
              <w:t>25</w:t>
            </w:r>
          </w:p>
        </w:tc>
        <w:tc>
          <w:tcPr>
            <w:tcW w:w="545" w:type="dxa"/>
            <w:noWrap w:val="0"/>
            <w:vAlign w:val="center"/>
          </w:tcPr>
          <w:p>
            <w:pPr>
              <w:jc w:val="center"/>
              <w:rPr>
                <w:color w:val="000000"/>
                <w:sz w:val="24"/>
                <w:szCs w:val="24"/>
              </w:rPr>
            </w:pPr>
            <w:r>
              <w:rPr>
                <w:rFonts w:hint="eastAsia"/>
                <w:color w:val="000000"/>
                <w:sz w:val="24"/>
                <w:szCs w:val="24"/>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“博物馆之友”活动组织开展情况</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9</w:t>
            </w:r>
          </w:p>
        </w:tc>
        <w:tc>
          <w:tcPr>
            <w:tcW w:w="545" w:type="dxa"/>
            <w:noWrap w:val="0"/>
            <w:vAlign w:val="center"/>
          </w:tcPr>
          <w:p>
            <w:pPr>
              <w:jc w:val="center"/>
              <w:rPr>
                <w:color w:val="000000"/>
                <w:sz w:val="24"/>
                <w:szCs w:val="24"/>
              </w:rPr>
            </w:pPr>
            <w:r>
              <w:rPr>
                <w:rFonts w:hint="eastAsia"/>
                <w:color w:val="000000"/>
                <w:sz w:val="24"/>
                <w:szCs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博物馆志愿者组织建设与服务工作情况</w:t>
            </w:r>
          </w:p>
        </w:tc>
        <w:tc>
          <w:tcPr>
            <w:tcW w:w="600" w:type="dxa"/>
            <w:noWrap w:val="0"/>
            <w:vAlign w:val="center"/>
          </w:tcPr>
          <w:p>
            <w:pPr>
              <w:jc w:val="center"/>
              <w:rPr>
                <w:color w:val="000000"/>
                <w:sz w:val="24"/>
                <w:szCs w:val="24"/>
              </w:rPr>
            </w:pPr>
            <w:r>
              <w:rPr>
                <w:rFonts w:hint="eastAsia"/>
                <w:color w:val="000000"/>
                <w:sz w:val="24"/>
                <w:szCs w:val="24"/>
              </w:rPr>
              <w:t>7</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博物馆接受社会捐助情况</w:t>
            </w:r>
          </w:p>
        </w:tc>
        <w:tc>
          <w:tcPr>
            <w:tcW w:w="600" w:type="dxa"/>
            <w:noWrap w:val="0"/>
            <w:vAlign w:val="center"/>
          </w:tcPr>
          <w:p>
            <w:pPr>
              <w:jc w:val="center"/>
              <w:rPr>
                <w:color w:val="000000"/>
                <w:sz w:val="24"/>
                <w:szCs w:val="24"/>
              </w:rPr>
            </w:pPr>
            <w:r>
              <w:rPr>
                <w:rFonts w:hint="eastAsia"/>
                <w:color w:val="000000"/>
                <w:sz w:val="24"/>
                <w:szCs w:val="24"/>
              </w:rPr>
              <w:t>6</w:t>
            </w:r>
          </w:p>
        </w:tc>
        <w:tc>
          <w:tcPr>
            <w:tcW w:w="636" w:type="dxa"/>
            <w:noWrap w:val="0"/>
            <w:vAlign w:val="center"/>
          </w:tcPr>
          <w:p>
            <w:pPr>
              <w:jc w:val="center"/>
              <w:rPr>
                <w:color w:val="000000"/>
                <w:sz w:val="24"/>
                <w:szCs w:val="24"/>
              </w:rPr>
            </w:pPr>
            <w:r>
              <w:rPr>
                <w:rFonts w:hint="eastAsia"/>
                <w:color w:val="000000"/>
                <w:sz w:val="24"/>
                <w:szCs w:val="24"/>
              </w:rPr>
              <w:t>8</w:t>
            </w:r>
          </w:p>
        </w:tc>
        <w:tc>
          <w:tcPr>
            <w:tcW w:w="545" w:type="dxa"/>
            <w:noWrap w:val="0"/>
            <w:vAlign w:val="center"/>
          </w:tcPr>
          <w:p>
            <w:pPr>
              <w:jc w:val="center"/>
              <w:rPr>
                <w:color w:val="000000"/>
                <w:sz w:val="24"/>
                <w:szCs w:val="24"/>
              </w:rPr>
            </w:pPr>
            <w:r>
              <w:rPr>
                <w:rFonts w:hint="eastAsia"/>
                <w:color w:val="000000"/>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gridSpan w:val="6"/>
            <w:noWrap w:val="0"/>
            <w:vAlign w:val="center"/>
          </w:tcPr>
          <w:p>
            <w:pPr>
              <w:jc w:val="center"/>
              <w:rPr>
                <w:color w:val="000000"/>
                <w:sz w:val="24"/>
                <w:szCs w:val="24"/>
              </w:rPr>
            </w:pPr>
            <w:r>
              <w:rPr>
                <w:rFonts w:hint="eastAsia"/>
                <w:color w:val="000000"/>
                <w:sz w:val="24"/>
                <w:szCs w:val="24"/>
              </w:rPr>
              <w:t>定量评估指标（原始分100分）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网站综合浏览量（基础分：10000次/分）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新媒体关注量（基础分：1000人/分）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新媒体访问量（基础分：10000次/分）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主流媒体报道次数（基础分：1次/分）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部（省）级集体奖励（基础分：1项/分）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部（省）级个人奖励（基础分：1项/分）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其他集体奖励（基础分：1项/分）</w:t>
            </w:r>
          </w:p>
        </w:tc>
        <w:tc>
          <w:tcPr>
            <w:tcW w:w="600" w:type="dxa"/>
            <w:noWrap w:val="0"/>
            <w:vAlign w:val="center"/>
          </w:tcPr>
          <w:p>
            <w:pPr>
              <w:jc w:val="center"/>
              <w:rPr>
                <w:color w:val="000000"/>
                <w:sz w:val="24"/>
                <w:szCs w:val="24"/>
              </w:rPr>
            </w:pPr>
            <w:r>
              <w:rPr>
                <w:rFonts w:hint="eastAsia"/>
                <w:color w:val="000000"/>
                <w:sz w:val="24"/>
                <w:szCs w:val="24"/>
              </w:rPr>
              <w:t>5</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其他个人奖励（基础分：1项/分）</w:t>
            </w:r>
          </w:p>
        </w:tc>
        <w:tc>
          <w:tcPr>
            <w:tcW w:w="600" w:type="dxa"/>
            <w:noWrap w:val="0"/>
            <w:vAlign w:val="center"/>
          </w:tcPr>
          <w:p>
            <w:pPr>
              <w:jc w:val="center"/>
              <w:rPr>
                <w:color w:val="000000"/>
                <w:sz w:val="24"/>
                <w:szCs w:val="24"/>
              </w:rPr>
            </w:pPr>
            <w:r>
              <w:rPr>
                <w:rFonts w:hint="eastAsia"/>
                <w:color w:val="000000"/>
                <w:sz w:val="24"/>
                <w:szCs w:val="24"/>
              </w:rPr>
              <w:t>5</w:t>
            </w:r>
          </w:p>
        </w:tc>
        <w:tc>
          <w:tcPr>
            <w:tcW w:w="636" w:type="dxa"/>
            <w:noWrap w:val="0"/>
            <w:vAlign w:val="center"/>
          </w:tcPr>
          <w:p>
            <w:pPr>
              <w:jc w:val="center"/>
              <w:rPr>
                <w:color w:val="000000"/>
                <w:sz w:val="24"/>
                <w:szCs w:val="24"/>
              </w:rPr>
            </w:pPr>
            <w:r>
              <w:rPr>
                <w:rFonts w:hint="eastAsia"/>
                <w:color w:val="000000"/>
                <w:sz w:val="24"/>
                <w:szCs w:val="24"/>
              </w:rPr>
              <w:t>5</w:t>
            </w:r>
          </w:p>
        </w:tc>
        <w:tc>
          <w:tcPr>
            <w:tcW w:w="545" w:type="dxa"/>
            <w:noWrap w:val="0"/>
            <w:vAlign w:val="center"/>
          </w:tcPr>
          <w:p>
            <w:pPr>
              <w:jc w:val="center"/>
              <w:rPr>
                <w:color w:val="000000"/>
                <w:sz w:val="24"/>
                <w:szCs w:val="24"/>
              </w:rPr>
            </w:pPr>
            <w:r>
              <w:rPr>
                <w:rFonts w:hint="eastAsia"/>
                <w:color w:val="000000"/>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接受捐赠次数（基础分：1次/分）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接受捐赠金额（基础分：10000元/分）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志愿者人数（基础分：1人/分）</w:t>
            </w:r>
          </w:p>
        </w:tc>
        <w:tc>
          <w:tcPr>
            <w:tcW w:w="600" w:type="dxa"/>
            <w:noWrap w:val="0"/>
            <w:vAlign w:val="center"/>
          </w:tcPr>
          <w:p>
            <w:pPr>
              <w:jc w:val="center"/>
              <w:rPr>
                <w:color w:val="000000"/>
                <w:sz w:val="24"/>
                <w:szCs w:val="24"/>
              </w:rPr>
            </w:pPr>
            <w:r>
              <w:rPr>
                <w:rFonts w:hint="eastAsia"/>
                <w:color w:val="000000"/>
                <w:sz w:val="24"/>
                <w:szCs w:val="24"/>
              </w:rPr>
              <w:t>10</w:t>
            </w:r>
          </w:p>
        </w:tc>
        <w:tc>
          <w:tcPr>
            <w:tcW w:w="636" w:type="dxa"/>
            <w:noWrap w:val="0"/>
            <w:vAlign w:val="center"/>
          </w:tcPr>
          <w:p>
            <w:pPr>
              <w:jc w:val="center"/>
              <w:rPr>
                <w:color w:val="000000"/>
                <w:sz w:val="24"/>
                <w:szCs w:val="24"/>
              </w:rPr>
            </w:pPr>
            <w:r>
              <w:rPr>
                <w:rFonts w:hint="eastAsia"/>
                <w:color w:val="000000"/>
                <w:sz w:val="24"/>
                <w:szCs w:val="24"/>
              </w:rPr>
              <w:t>10</w:t>
            </w:r>
          </w:p>
        </w:tc>
        <w:tc>
          <w:tcPr>
            <w:tcW w:w="545" w:type="dxa"/>
            <w:noWrap w:val="0"/>
            <w:vAlign w:val="center"/>
          </w:tcPr>
          <w:p>
            <w:pPr>
              <w:jc w:val="center"/>
              <w:rPr>
                <w:color w:val="000000"/>
                <w:sz w:val="24"/>
                <w:szCs w:val="24"/>
              </w:rPr>
            </w:pPr>
            <w:r>
              <w:rPr>
                <w:rFonts w:hint="eastAsia"/>
                <w:color w:val="000000"/>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867" w:type="dxa"/>
            <w:noWrap w:val="0"/>
            <w:vAlign w:val="center"/>
          </w:tcPr>
          <w:p>
            <w:pPr>
              <w:jc w:val="left"/>
              <w:rPr>
                <w:b/>
                <w:bCs/>
                <w:color w:val="000000"/>
                <w:sz w:val="24"/>
                <w:szCs w:val="24"/>
              </w:rPr>
            </w:pPr>
            <w:r>
              <w:rPr>
                <w:rFonts w:hint="eastAsia"/>
                <w:b/>
                <w:bCs/>
                <w:color w:val="000000"/>
                <w:sz w:val="24"/>
                <w:szCs w:val="24"/>
              </w:rPr>
              <w:t>4</w:t>
            </w:r>
          </w:p>
        </w:tc>
        <w:tc>
          <w:tcPr>
            <w:tcW w:w="1230" w:type="dxa"/>
            <w:noWrap w:val="0"/>
            <w:vAlign w:val="center"/>
          </w:tcPr>
          <w:p>
            <w:pPr>
              <w:ind w:firstLine="422"/>
              <w:jc w:val="center"/>
              <w:rPr>
                <w:b/>
                <w:bCs/>
                <w:color w:val="000000"/>
                <w:sz w:val="24"/>
                <w:szCs w:val="24"/>
              </w:rPr>
            </w:pPr>
          </w:p>
        </w:tc>
        <w:tc>
          <w:tcPr>
            <w:tcW w:w="4644" w:type="dxa"/>
            <w:noWrap w:val="0"/>
            <w:vAlign w:val="center"/>
          </w:tcPr>
          <w:p>
            <w:pPr>
              <w:jc w:val="left"/>
              <w:rPr>
                <w:b/>
                <w:bCs/>
                <w:color w:val="000000"/>
                <w:sz w:val="24"/>
                <w:szCs w:val="24"/>
              </w:rPr>
            </w:pPr>
            <w:r>
              <w:rPr>
                <w:rFonts w:hint="eastAsia"/>
                <w:b/>
                <w:bCs/>
                <w:color w:val="000000"/>
                <w:sz w:val="24"/>
                <w:szCs w:val="24"/>
              </w:rPr>
              <w:t>附加项</w:t>
            </w:r>
          </w:p>
        </w:tc>
        <w:tc>
          <w:tcPr>
            <w:tcW w:w="600" w:type="dxa"/>
            <w:noWrap w:val="0"/>
            <w:vAlign w:val="center"/>
          </w:tcPr>
          <w:p>
            <w:pPr>
              <w:ind w:firstLine="422"/>
              <w:jc w:val="left"/>
              <w:rPr>
                <w:b/>
                <w:bCs/>
                <w:color w:val="000000"/>
                <w:sz w:val="24"/>
                <w:szCs w:val="24"/>
              </w:rPr>
            </w:pPr>
          </w:p>
        </w:tc>
        <w:tc>
          <w:tcPr>
            <w:tcW w:w="636" w:type="dxa"/>
            <w:noWrap w:val="0"/>
            <w:vAlign w:val="center"/>
          </w:tcPr>
          <w:p>
            <w:pPr>
              <w:ind w:firstLine="422"/>
              <w:jc w:val="left"/>
              <w:rPr>
                <w:b/>
                <w:bCs/>
                <w:color w:val="000000"/>
                <w:sz w:val="24"/>
                <w:szCs w:val="24"/>
              </w:rPr>
            </w:pPr>
          </w:p>
        </w:tc>
        <w:tc>
          <w:tcPr>
            <w:tcW w:w="545" w:type="dxa"/>
            <w:noWrap w:val="0"/>
            <w:vAlign w:val="center"/>
          </w:tcPr>
          <w:p>
            <w:pPr>
              <w:ind w:firstLine="422"/>
              <w:jc w:val="left"/>
              <w:rPr>
                <w:b/>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4.1</w:t>
            </w: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特色加分项</w:t>
            </w:r>
          </w:p>
          <w:p>
            <w:pPr>
              <w:jc w:val="left"/>
              <w:rPr>
                <w:color w:val="000000"/>
                <w:sz w:val="24"/>
                <w:szCs w:val="24"/>
              </w:rPr>
            </w:pPr>
            <w:r>
              <w:rPr>
                <w:rFonts w:hint="eastAsia"/>
                <w:color w:val="000000"/>
                <w:sz w:val="24"/>
                <w:szCs w:val="24"/>
              </w:rPr>
              <w:t>（单个特色项目加分不超过3分；参评博物馆累计加分不超过6分，累计附加分后博物馆总得分最高不超过100分。给予特色加分的单位最多不超过参评单位总数的10%）</w:t>
            </w:r>
          </w:p>
        </w:tc>
        <w:tc>
          <w:tcPr>
            <w:tcW w:w="600" w:type="dxa"/>
            <w:noWrap w:val="0"/>
            <w:vAlign w:val="center"/>
          </w:tcPr>
          <w:p>
            <w:pPr>
              <w:jc w:val="left"/>
              <w:rPr>
                <w:color w:val="000000"/>
                <w:sz w:val="24"/>
                <w:szCs w:val="24"/>
              </w:rPr>
            </w:pPr>
          </w:p>
        </w:tc>
        <w:tc>
          <w:tcPr>
            <w:tcW w:w="636" w:type="dxa"/>
            <w:noWrap w:val="0"/>
            <w:vAlign w:val="center"/>
          </w:tcPr>
          <w:p>
            <w:pPr>
              <w:jc w:val="left"/>
              <w:rPr>
                <w:color w:val="000000"/>
                <w:sz w:val="24"/>
                <w:szCs w:val="24"/>
              </w:rPr>
            </w:pPr>
          </w:p>
        </w:tc>
        <w:tc>
          <w:tcPr>
            <w:tcW w:w="545" w:type="dxa"/>
            <w:noWrap w:val="0"/>
            <w:vAlign w:val="center"/>
          </w:tcPr>
          <w:p>
            <w:pPr>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博物馆、纪念馆服务国家重大战略、重大文化工程，加强资源整合与协同创新方面开展的特色化、个性化发展创新项目</w:t>
            </w:r>
          </w:p>
        </w:tc>
        <w:tc>
          <w:tcPr>
            <w:tcW w:w="600" w:type="dxa"/>
            <w:noWrap w:val="0"/>
            <w:vAlign w:val="center"/>
          </w:tcPr>
          <w:p>
            <w:pPr>
              <w:jc w:val="left"/>
              <w:rPr>
                <w:color w:val="000000"/>
                <w:sz w:val="24"/>
                <w:szCs w:val="24"/>
              </w:rPr>
            </w:pPr>
          </w:p>
        </w:tc>
        <w:tc>
          <w:tcPr>
            <w:tcW w:w="636" w:type="dxa"/>
            <w:noWrap w:val="0"/>
            <w:vAlign w:val="center"/>
          </w:tcPr>
          <w:p>
            <w:pPr>
              <w:jc w:val="left"/>
              <w:rPr>
                <w:color w:val="000000"/>
                <w:sz w:val="24"/>
                <w:szCs w:val="24"/>
              </w:rPr>
            </w:pPr>
          </w:p>
        </w:tc>
        <w:tc>
          <w:tcPr>
            <w:tcW w:w="545" w:type="dxa"/>
            <w:noWrap w:val="0"/>
            <w:vAlign w:val="center"/>
          </w:tcPr>
          <w:p>
            <w:pPr>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博物馆、纪念馆落实中央和国家有关部门关于博物馆改革发展的政策要求，创新体制机制，释放发展活力方面开展的特色化、个性化发展创新项目</w:t>
            </w:r>
          </w:p>
        </w:tc>
        <w:tc>
          <w:tcPr>
            <w:tcW w:w="600" w:type="dxa"/>
            <w:noWrap w:val="0"/>
            <w:vAlign w:val="center"/>
          </w:tcPr>
          <w:p>
            <w:pPr>
              <w:jc w:val="left"/>
              <w:rPr>
                <w:color w:val="000000"/>
                <w:sz w:val="24"/>
                <w:szCs w:val="24"/>
              </w:rPr>
            </w:pPr>
          </w:p>
        </w:tc>
        <w:tc>
          <w:tcPr>
            <w:tcW w:w="636" w:type="dxa"/>
            <w:noWrap w:val="0"/>
            <w:vAlign w:val="center"/>
          </w:tcPr>
          <w:p>
            <w:pPr>
              <w:jc w:val="left"/>
              <w:rPr>
                <w:color w:val="000000"/>
                <w:sz w:val="24"/>
                <w:szCs w:val="24"/>
              </w:rPr>
            </w:pPr>
          </w:p>
        </w:tc>
        <w:tc>
          <w:tcPr>
            <w:tcW w:w="545" w:type="dxa"/>
            <w:noWrap w:val="0"/>
            <w:vAlign w:val="center"/>
          </w:tcPr>
          <w:p>
            <w:pPr>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博物馆、纪念馆在弘扬社会主义核心价值观，传承弘扬中华优秀传统文化、继承革命文化和发展社会主义先进文化，推动文物资源创造性转化、创新性发展方面开展的特色化、个性化发展创新项目</w:t>
            </w:r>
          </w:p>
        </w:tc>
        <w:tc>
          <w:tcPr>
            <w:tcW w:w="600" w:type="dxa"/>
            <w:noWrap w:val="0"/>
            <w:vAlign w:val="center"/>
          </w:tcPr>
          <w:p>
            <w:pPr>
              <w:jc w:val="left"/>
              <w:rPr>
                <w:color w:val="000000"/>
                <w:sz w:val="24"/>
                <w:szCs w:val="24"/>
              </w:rPr>
            </w:pPr>
          </w:p>
        </w:tc>
        <w:tc>
          <w:tcPr>
            <w:tcW w:w="636" w:type="dxa"/>
            <w:noWrap w:val="0"/>
            <w:vAlign w:val="center"/>
          </w:tcPr>
          <w:p>
            <w:pPr>
              <w:jc w:val="left"/>
              <w:rPr>
                <w:color w:val="000000"/>
                <w:sz w:val="24"/>
                <w:szCs w:val="24"/>
              </w:rPr>
            </w:pPr>
          </w:p>
        </w:tc>
        <w:tc>
          <w:tcPr>
            <w:tcW w:w="545" w:type="dxa"/>
            <w:noWrap w:val="0"/>
            <w:vAlign w:val="center"/>
          </w:tcPr>
          <w:p>
            <w:pPr>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博物馆、纪念馆在开展国际合作，推进文明交流互鉴，向国际社会讲好中国故事、讲好中国共产党的故事，提升中华文化国际传播能力，扩大中华文化国际影响力方面开展的特色化、个性化发展创新项目</w:t>
            </w:r>
          </w:p>
        </w:tc>
        <w:tc>
          <w:tcPr>
            <w:tcW w:w="600" w:type="dxa"/>
            <w:noWrap w:val="0"/>
            <w:vAlign w:val="center"/>
          </w:tcPr>
          <w:p>
            <w:pPr>
              <w:jc w:val="left"/>
              <w:rPr>
                <w:color w:val="000000"/>
                <w:sz w:val="24"/>
                <w:szCs w:val="24"/>
              </w:rPr>
            </w:pPr>
          </w:p>
        </w:tc>
        <w:tc>
          <w:tcPr>
            <w:tcW w:w="636" w:type="dxa"/>
            <w:noWrap w:val="0"/>
            <w:vAlign w:val="center"/>
          </w:tcPr>
          <w:p>
            <w:pPr>
              <w:jc w:val="left"/>
              <w:rPr>
                <w:color w:val="000000"/>
                <w:sz w:val="24"/>
                <w:szCs w:val="24"/>
              </w:rPr>
            </w:pPr>
          </w:p>
        </w:tc>
        <w:tc>
          <w:tcPr>
            <w:tcW w:w="545" w:type="dxa"/>
            <w:noWrap w:val="0"/>
            <w:vAlign w:val="center"/>
          </w:tcPr>
          <w:p>
            <w:pPr>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r>
              <w:rPr>
                <w:rFonts w:hint="eastAsia"/>
                <w:color w:val="000000"/>
                <w:sz w:val="24"/>
                <w:szCs w:val="24"/>
              </w:rPr>
              <w:t>4.2</w:t>
            </w: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警示减分项</w:t>
            </w:r>
          </w:p>
        </w:tc>
        <w:tc>
          <w:tcPr>
            <w:tcW w:w="600" w:type="dxa"/>
            <w:noWrap w:val="0"/>
            <w:vAlign w:val="center"/>
          </w:tcPr>
          <w:p>
            <w:pPr>
              <w:jc w:val="left"/>
              <w:rPr>
                <w:color w:val="000000"/>
                <w:sz w:val="24"/>
                <w:szCs w:val="24"/>
              </w:rPr>
            </w:pPr>
          </w:p>
        </w:tc>
        <w:tc>
          <w:tcPr>
            <w:tcW w:w="636" w:type="dxa"/>
            <w:noWrap w:val="0"/>
            <w:vAlign w:val="center"/>
          </w:tcPr>
          <w:p>
            <w:pPr>
              <w:jc w:val="left"/>
              <w:rPr>
                <w:color w:val="000000"/>
                <w:sz w:val="24"/>
                <w:szCs w:val="24"/>
              </w:rPr>
            </w:pPr>
          </w:p>
        </w:tc>
        <w:tc>
          <w:tcPr>
            <w:tcW w:w="545" w:type="dxa"/>
            <w:noWrap w:val="0"/>
            <w:vAlign w:val="center"/>
          </w:tcPr>
          <w:p>
            <w:pPr>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评估周期内未有效落实意识形态工作责任制，发生负面舆情或其他意识形态问题（关联指标：安全管理—意识形态安全）发生重大舆情或其他重大意识形态问题的，涉及安全管理二级指标项（6分）不得分</w:t>
            </w:r>
          </w:p>
        </w:tc>
        <w:tc>
          <w:tcPr>
            <w:tcW w:w="600" w:type="dxa"/>
            <w:noWrap w:val="0"/>
            <w:vAlign w:val="center"/>
          </w:tcPr>
          <w:p>
            <w:pPr>
              <w:jc w:val="left"/>
              <w:rPr>
                <w:color w:val="000000"/>
                <w:sz w:val="24"/>
                <w:szCs w:val="24"/>
              </w:rPr>
            </w:pPr>
          </w:p>
        </w:tc>
        <w:tc>
          <w:tcPr>
            <w:tcW w:w="636" w:type="dxa"/>
            <w:noWrap w:val="0"/>
            <w:vAlign w:val="center"/>
          </w:tcPr>
          <w:p>
            <w:pPr>
              <w:jc w:val="left"/>
              <w:rPr>
                <w:color w:val="000000"/>
                <w:sz w:val="24"/>
                <w:szCs w:val="24"/>
              </w:rPr>
            </w:pPr>
          </w:p>
        </w:tc>
        <w:tc>
          <w:tcPr>
            <w:tcW w:w="545" w:type="dxa"/>
            <w:noWrap w:val="0"/>
            <w:vAlign w:val="center"/>
          </w:tcPr>
          <w:p>
            <w:pPr>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评估周期内违规收藏有来源不明或者来源不合法的藏品（关联指标：藏品管理—藏品征集）</w:t>
            </w:r>
          </w:p>
        </w:tc>
        <w:tc>
          <w:tcPr>
            <w:tcW w:w="600" w:type="dxa"/>
            <w:noWrap w:val="0"/>
            <w:vAlign w:val="center"/>
          </w:tcPr>
          <w:p>
            <w:pPr>
              <w:jc w:val="left"/>
              <w:rPr>
                <w:color w:val="000000"/>
                <w:sz w:val="24"/>
                <w:szCs w:val="24"/>
              </w:rPr>
            </w:pPr>
          </w:p>
        </w:tc>
        <w:tc>
          <w:tcPr>
            <w:tcW w:w="636" w:type="dxa"/>
            <w:noWrap w:val="0"/>
            <w:vAlign w:val="center"/>
          </w:tcPr>
          <w:p>
            <w:pPr>
              <w:jc w:val="left"/>
              <w:rPr>
                <w:color w:val="000000"/>
                <w:sz w:val="24"/>
                <w:szCs w:val="24"/>
              </w:rPr>
            </w:pPr>
          </w:p>
        </w:tc>
        <w:tc>
          <w:tcPr>
            <w:tcW w:w="545" w:type="dxa"/>
            <w:noWrap w:val="0"/>
            <w:vAlign w:val="center"/>
          </w:tcPr>
          <w:p>
            <w:pPr>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lang w:eastAsia="zh-CN"/>
              </w:rPr>
              <w:t>馆藏文物借用或交换</w:t>
            </w:r>
            <w:r>
              <w:rPr>
                <w:rFonts w:hint="eastAsia"/>
                <w:color w:val="000000"/>
                <w:sz w:val="24"/>
                <w:szCs w:val="24"/>
              </w:rPr>
              <w:t>，未依法履行备案或报批程序（关联指标：藏品管理—藏品登录）</w:t>
            </w:r>
          </w:p>
        </w:tc>
        <w:tc>
          <w:tcPr>
            <w:tcW w:w="600" w:type="dxa"/>
            <w:noWrap w:val="0"/>
            <w:vAlign w:val="center"/>
          </w:tcPr>
          <w:p>
            <w:pPr>
              <w:jc w:val="left"/>
              <w:rPr>
                <w:color w:val="000000"/>
                <w:sz w:val="24"/>
                <w:szCs w:val="24"/>
              </w:rPr>
            </w:pPr>
          </w:p>
        </w:tc>
        <w:tc>
          <w:tcPr>
            <w:tcW w:w="636" w:type="dxa"/>
            <w:noWrap w:val="0"/>
            <w:vAlign w:val="center"/>
          </w:tcPr>
          <w:p>
            <w:pPr>
              <w:jc w:val="left"/>
              <w:rPr>
                <w:color w:val="000000"/>
                <w:sz w:val="24"/>
                <w:szCs w:val="24"/>
              </w:rPr>
            </w:pPr>
          </w:p>
        </w:tc>
        <w:tc>
          <w:tcPr>
            <w:tcW w:w="545" w:type="dxa"/>
            <w:noWrap w:val="0"/>
            <w:vAlign w:val="center"/>
          </w:tcPr>
          <w:p>
            <w:pPr>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未能依法合规处置文物（关联指标：藏品管理—藏品保管）</w:t>
            </w:r>
          </w:p>
        </w:tc>
        <w:tc>
          <w:tcPr>
            <w:tcW w:w="600" w:type="dxa"/>
            <w:noWrap w:val="0"/>
            <w:vAlign w:val="center"/>
          </w:tcPr>
          <w:p>
            <w:pPr>
              <w:jc w:val="left"/>
              <w:rPr>
                <w:color w:val="000000"/>
                <w:sz w:val="24"/>
                <w:szCs w:val="24"/>
              </w:rPr>
            </w:pPr>
          </w:p>
        </w:tc>
        <w:tc>
          <w:tcPr>
            <w:tcW w:w="636" w:type="dxa"/>
            <w:noWrap w:val="0"/>
            <w:vAlign w:val="center"/>
          </w:tcPr>
          <w:p>
            <w:pPr>
              <w:jc w:val="left"/>
              <w:rPr>
                <w:color w:val="000000"/>
                <w:sz w:val="24"/>
                <w:szCs w:val="24"/>
              </w:rPr>
            </w:pPr>
          </w:p>
        </w:tc>
        <w:tc>
          <w:tcPr>
            <w:tcW w:w="545" w:type="dxa"/>
            <w:noWrap w:val="0"/>
            <w:vAlign w:val="center"/>
          </w:tcPr>
          <w:p>
            <w:pPr>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评估周期内发生藏品安全事故（关联指标：藏品管理—藏品保管、安全管理—藏品安全）发生重大安全事故的，涉及藏品管理（10分）和安全管理（6分）两个二级指标项共计16分全部扣除。</w:t>
            </w:r>
          </w:p>
        </w:tc>
        <w:tc>
          <w:tcPr>
            <w:tcW w:w="600" w:type="dxa"/>
            <w:noWrap w:val="0"/>
            <w:vAlign w:val="center"/>
          </w:tcPr>
          <w:p>
            <w:pPr>
              <w:jc w:val="left"/>
              <w:rPr>
                <w:color w:val="000000"/>
                <w:sz w:val="24"/>
                <w:szCs w:val="24"/>
              </w:rPr>
            </w:pPr>
          </w:p>
        </w:tc>
        <w:tc>
          <w:tcPr>
            <w:tcW w:w="636" w:type="dxa"/>
            <w:noWrap w:val="0"/>
            <w:vAlign w:val="center"/>
          </w:tcPr>
          <w:p>
            <w:pPr>
              <w:jc w:val="left"/>
              <w:rPr>
                <w:color w:val="000000"/>
                <w:sz w:val="24"/>
                <w:szCs w:val="24"/>
              </w:rPr>
            </w:pPr>
          </w:p>
        </w:tc>
        <w:tc>
          <w:tcPr>
            <w:tcW w:w="545" w:type="dxa"/>
            <w:noWrap w:val="0"/>
            <w:vAlign w:val="center"/>
          </w:tcPr>
          <w:p>
            <w:pPr>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评估周期内发生观众安全责任事故（关联指标：安全管理—公共安全）</w:t>
            </w:r>
          </w:p>
        </w:tc>
        <w:tc>
          <w:tcPr>
            <w:tcW w:w="600" w:type="dxa"/>
            <w:noWrap w:val="0"/>
            <w:vAlign w:val="center"/>
          </w:tcPr>
          <w:p>
            <w:pPr>
              <w:jc w:val="left"/>
              <w:rPr>
                <w:color w:val="000000"/>
                <w:sz w:val="24"/>
                <w:szCs w:val="24"/>
              </w:rPr>
            </w:pPr>
          </w:p>
        </w:tc>
        <w:tc>
          <w:tcPr>
            <w:tcW w:w="636" w:type="dxa"/>
            <w:noWrap w:val="0"/>
            <w:vAlign w:val="center"/>
          </w:tcPr>
          <w:p>
            <w:pPr>
              <w:jc w:val="left"/>
              <w:rPr>
                <w:color w:val="000000"/>
                <w:sz w:val="24"/>
                <w:szCs w:val="24"/>
              </w:rPr>
            </w:pPr>
          </w:p>
        </w:tc>
        <w:tc>
          <w:tcPr>
            <w:tcW w:w="545" w:type="dxa"/>
            <w:noWrap w:val="0"/>
            <w:vAlign w:val="center"/>
          </w:tcPr>
          <w:p>
            <w:pPr>
              <w:jc w:val="left"/>
              <w:rPr>
                <w:color w:val="000000"/>
                <w:sz w:val="24"/>
                <w:szCs w:val="24"/>
              </w:rPr>
            </w:pPr>
          </w:p>
          <w:p>
            <w:pPr>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7" w:type="dxa"/>
            <w:noWrap w:val="0"/>
            <w:vAlign w:val="center"/>
          </w:tcPr>
          <w:p>
            <w:pPr>
              <w:jc w:val="left"/>
              <w:rPr>
                <w:color w:val="000000"/>
                <w:sz w:val="24"/>
                <w:szCs w:val="24"/>
              </w:rPr>
            </w:pPr>
          </w:p>
        </w:tc>
        <w:tc>
          <w:tcPr>
            <w:tcW w:w="1230" w:type="dxa"/>
            <w:noWrap w:val="0"/>
            <w:vAlign w:val="center"/>
          </w:tcPr>
          <w:p>
            <w:pPr>
              <w:jc w:val="center"/>
              <w:rPr>
                <w:color w:val="000000"/>
                <w:sz w:val="24"/>
                <w:szCs w:val="24"/>
              </w:rPr>
            </w:pPr>
          </w:p>
        </w:tc>
        <w:tc>
          <w:tcPr>
            <w:tcW w:w="4644" w:type="dxa"/>
            <w:noWrap w:val="0"/>
            <w:vAlign w:val="center"/>
          </w:tcPr>
          <w:p>
            <w:pPr>
              <w:jc w:val="left"/>
              <w:rPr>
                <w:color w:val="000000"/>
                <w:sz w:val="24"/>
                <w:szCs w:val="24"/>
              </w:rPr>
            </w:pPr>
            <w:r>
              <w:rPr>
                <w:rFonts w:hint="eastAsia"/>
                <w:color w:val="000000"/>
                <w:sz w:val="24"/>
                <w:szCs w:val="24"/>
              </w:rPr>
              <w:t>革命纪念类博物馆及陈列展览内容未履行相关审批手续。（关联指标：安全管理—意识形态安全，其他类型博物馆不作考察）</w:t>
            </w:r>
          </w:p>
        </w:tc>
        <w:tc>
          <w:tcPr>
            <w:tcW w:w="600" w:type="dxa"/>
            <w:noWrap w:val="0"/>
            <w:vAlign w:val="center"/>
          </w:tcPr>
          <w:p>
            <w:pPr>
              <w:jc w:val="left"/>
              <w:rPr>
                <w:color w:val="000000"/>
                <w:sz w:val="24"/>
                <w:szCs w:val="24"/>
              </w:rPr>
            </w:pPr>
          </w:p>
        </w:tc>
        <w:tc>
          <w:tcPr>
            <w:tcW w:w="636" w:type="dxa"/>
            <w:noWrap w:val="0"/>
            <w:vAlign w:val="center"/>
          </w:tcPr>
          <w:p>
            <w:pPr>
              <w:jc w:val="left"/>
              <w:rPr>
                <w:color w:val="000000"/>
                <w:sz w:val="24"/>
                <w:szCs w:val="24"/>
              </w:rPr>
            </w:pPr>
          </w:p>
        </w:tc>
        <w:tc>
          <w:tcPr>
            <w:tcW w:w="545" w:type="dxa"/>
            <w:noWrap w:val="0"/>
            <w:vAlign w:val="center"/>
          </w:tcPr>
          <w:p>
            <w:pPr>
              <w:jc w:val="left"/>
              <w:rPr>
                <w:color w:val="000000"/>
                <w:sz w:val="24"/>
                <w:szCs w:val="24"/>
              </w:rPr>
            </w:pPr>
          </w:p>
        </w:tc>
      </w:tr>
    </w:tbl>
    <w:p>
      <w:pPr>
        <w:jc w:val="center"/>
        <w:rPr>
          <w:rFonts w:ascii="黑体" w:hAnsi="Times New Roman" w:eastAsia="黑体" w:cs="Times New Roman"/>
          <w:color w:val="000000"/>
          <w:kern w:val="0"/>
          <w:sz w:val="28"/>
          <w:szCs w:val="28"/>
        </w:rPr>
      </w:pPr>
      <w:r>
        <w:rPr>
          <w:rFonts w:ascii="黑体" w:hAnsi="Times New Roman" w:eastAsia="黑体" w:cs="Times New Roman"/>
          <w:color w:val="000000"/>
          <w:kern w:val="0"/>
          <w:sz w:val="28"/>
          <w:szCs w:val="28"/>
        </w:rPr>
        <w:br w:type="page"/>
      </w:r>
      <w:r>
        <w:rPr>
          <w:rFonts w:hint="eastAsia" w:ascii="黑体" w:hAnsi="Times New Roman" w:eastAsia="黑体" w:cs="Times New Roman"/>
          <w:color w:val="000000"/>
          <w:kern w:val="0"/>
          <w:sz w:val="28"/>
          <w:szCs w:val="28"/>
        </w:rPr>
        <w:t>附录B</w:t>
      </w:r>
    </w:p>
    <w:p>
      <w:pPr>
        <w:pageBreakBefore w:val="0"/>
        <w:widowControl w:val="0"/>
        <w:kinsoku/>
        <w:wordWrap/>
        <w:overflowPunct/>
        <w:topLinePunct w:val="0"/>
        <w:autoSpaceDE/>
        <w:autoSpaceDN/>
        <w:bidi w:val="0"/>
        <w:adjustRightInd/>
        <w:snapToGrid/>
        <w:spacing w:line="460" w:lineRule="exact"/>
        <w:jc w:val="center"/>
        <w:textAlignment w:val="auto"/>
        <w:rPr>
          <w:rFonts w:ascii="黑体" w:hAnsi="Times New Roman" w:eastAsia="黑体" w:cs="Times New Roman"/>
          <w:color w:val="000000"/>
          <w:kern w:val="0"/>
          <w:sz w:val="28"/>
          <w:szCs w:val="28"/>
        </w:rPr>
      </w:pPr>
      <w:r>
        <w:rPr>
          <w:rFonts w:hint="eastAsia" w:ascii="黑体" w:hAnsi="Times New Roman" w:eastAsia="黑体" w:cs="Times New Roman"/>
          <w:color w:val="000000"/>
          <w:kern w:val="0"/>
          <w:sz w:val="28"/>
          <w:szCs w:val="28"/>
        </w:rPr>
        <w:t>（规范性）</w:t>
      </w:r>
    </w:p>
    <w:p>
      <w:pPr>
        <w:pageBreakBefore w:val="0"/>
        <w:widowControl w:val="0"/>
        <w:kinsoku/>
        <w:wordWrap/>
        <w:overflowPunct/>
        <w:topLinePunct w:val="0"/>
        <w:autoSpaceDE/>
        <w:autoSpaceDN/>
        <w:bidi w:val="0"/>
        <w:adjustRightInd/>
        <w:snapToGrid/>
        <w:spacing w:line="460" w:lineRule="exact"/>
        <w:jc w:val="center"/>
        <w:textAlignment w:val="auto"/>
        <w:rPr>
          <w:rFonts w:ascii="黑体" w:hAnsi="Times New Roman" w:eastAsia="黑体" w:cs="Times New Roman"/>
          <w:color w:val="000000"/>
          <w:kern w:val="0"/>
          <w:sz w:val="28"/>
          <w:szCs w:val="28"/>
        </w:rPr>
      </w:pPr>
      <w:r>
        <w:rPr>
          <w:rFonts w:hint="eastAsia" w:ascii="黑体" w:hAnsi="Times New Roman" w:eastAsia="黑体" w:cs="Times New Roman"/>
          <w:color w:val="000000"/>
          <w:kern w:val="0"/>
          <w:sz w:val="28"/>
          <w:szCs w:val="28"/>
        </w:rPr>
        <w:t>评估评分计算统计方法</w:t>
      </w:r>
    </w:p>
    <w:p>
      <w:pPr>
        <w:pStyle w:val="3"/>
        <w:pageBreakBefore w:val="0"/>
        <w:widowControl w:val="0"/>
        <w:numPr>
          <w:ilvl w:val="0"/>
          <w:numId w:val="0"/>
        </w:numPr>
        <w:kinsoku/>
        <w:wordWrap/>
        <w:overflowPunct/>
        <w:topLinePunct w:val="0"/>
        <w:autoSpaceDE/>
        <w:autoSpaceDN/>
        <w:bidi w:val="0"/>
        <w:adjustRightInd/>
        <w:snapToGrid/>
        <w:spacing w:line="460" w:lineRule="exact"/>
        <w:textAlignment w:val="auto"/>
        <w:rPr>
          <w:color w:val="000000"/>
        </w:rPr>
      </w:pPr>
      <w:bookmarkStart w:id="0" w:name="_Toc253078023"/>
      <w:r>
        <w:rPr>
          <w:rFonts w:hint="eastAsia"/>
          <w:color w:val="000000"/>
        </w:rPr>
        <w:t>一、定性评估评分计算统计方法</w:t>
      </w:r>
      <w:bookmarkEnd w:id="0"/>
    </w:p>
    <w:p>
      <w:pPr>
        <w:pStyle w:val="9"/>
        <w:pageBreakBefore w:val="0"/>
        <w:widowControl w:val="0"/>
        <w:numPr>
          <w:ilvl w:val="0"/>
          <w:numId w:val="2"/>
        </w:numPr>
        <w:kinsoku/>
        <w:wordWrap/>
        <w:overflowPunct/>
        <w:topLinePunct w:val="0"/>
        <w:autoSpaceDE/>
        <w:autoSpaceDN/>
        <w:bidi w:val="0"/>
        <w:adjustRightInd/>
        <w:snapToGrid/>
        <w:spacing w:line="460" w:lineRule="exact"/>
        <w:ind w:hanging="840" w:firstLineChars="0"/>
        <w:textAlignment w:val="auto"/>
        <w:rPr>
          <w:b/>
          <w:color w:val="000000"/>
        </w:rPr>
      </w:pPr>
      <w:r>
        <w:rPr>
          <w:rFonts w:hint="eastAsia"/>
          <w:b/>
          <w:color w:val="000000"/>
        </w:rPr>
        <w:t>计算二级指标定量相对得分</w:t>
      </w:r>
    </w:p>
    <w:p>
      <w:pPr>
        <w:pStyle w:val="9"/>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hint="eastAsia" w:ascii="Calibri" w:hAnsi="Calibri" w:eastAsia="仿宋_GB2312" w:cs="Times New Roman"/>
          <w:color w:val="000000"/>
          <w:kern w:val="2"/>
          <w:sz w:val="32"/>
          <w:szCs w:val="32"/>
          <w:lang w:val="en-US" w:eastAsia="zh-CN" w:bidi="ar-SA"/>
        </w:rPr>
      </w:pPr>
      <w:r>
        <w:rPr>
          <w:rFonts w:hint="eastAsia" w:ascii="Calibri" w:hAnsi="Calibri" w:eastAsia="仿宋_GB2312" w:cs="Times New Roman"/>
          <w:color w:val="000000"/>
          <w:kern w:val="2"/>
          <w:sz w:val="32"/>
          <w:szCs w:val="32"/>
          <w:lang w:val="en-US" w:eastAsia="zh-CN" w:bidi="ar-SA"/>
        </w:rPr>
        <w:t>二级指标相对得分=各考察要点实际得分之和</w:t>
      </w:r>
    </w:p>
    <w:p>
      <w:pPr>
        <w:pStyle w:val="9"/>
        <w:pageBreakBefore w:val="0"/>
        <w:widowControl w:val="0"/>
        <w:numPr>
          <w:ilvl w:val="0"/>
          <w:numId w:val="2"/>
        </w:numPr>
        <w:kinsoku/>
        <w:wordWrap/>
        <w:overflowPunct/>
        <w:topLinePunct w:val="0"/>
        <w:autoSpaceDE/>
        <w:autoSpaceDN/>
        <w:bidi w:val="0"/>
        <w:adjustRightInd/>
        <w:snapToGrid/>
        <w:spacing w:line="460" w:lineRule="exact"/>
        <w:ind w:hanging="840" w:firstLineChars="0"/>
        <w:textAlignment w:val="auto"/>
        <w:rPr>
          <w:b/>
          <w:color w:val="000000"/>
        </w:rPr>
      </w:pPr>
      <w:r>
        <w:rPr>
          <w:rFonts w:hint="eastAsia"/>
          <w:b/>
          <w:color w:val="000000"/>
        </w:rPr>
        <w:t>计算二级指标相对平均分</w:t>
      </w:r>
    </w:p>
    <w:p>
      <w:pPr>
        <w:pageBreakBefore w:val="0"/>
        <w:widowControl w:val="0"/>
        <w:kinsoku/>
        <w:wordWrap/>
        <w:overflowPunct/>
        <w:topLinePunct w:val="0"/>
        <w:autoSpaceDE/>
        <w:autoSpaceDN/>
        <w:bidi w:val="0"/>
        <w:adjustRightInd/>
        <w:snapToGrid/>
        <w:spacing w:line="460" w:lineRule="exact"/>
        <w:ind w:firstLine="560"/>
        <w:textAlignment w:val="auto"/>
        <w:rPr>
          <w:color w:val="000000"/>
        </w:rPr>
      </w:pPr>
      <w:r>
        <w:rPr>
          <w:rFonts w:hint="eastAsia"/>
          <w:color w:val="000000"/>
        </w:rPr>
        <w:t>二级指标相对平均分=各专家二级指标所评实际得分之和/专家人数</w:t>
      </w:r>
    </w:p>
    <w:p>
      <w:pPr>
        <w:pStyle w:val="9"/>
        <w:pageBreakBefore w:val="0"/>
        <w:widowControl w:val="0"/>
        <w:numPr>
          <w:ilvl w:val="0"/>
          <w:numId w:val="2"/>
        </w:numPr>
        <w:kinsoku/>
        <w:wordWrap/>
        <w:overflowPunct/>
        <w:topLinePunct w:val="0"/>
        <w:autoSpaceDE/>
        <w:autoSpaceDN/>
        <w:bidi w:val="0"/>
        <w:adjustRightInd/>
        <w:snapToGrid/>
        <w:spacing w:line="460" w:lineRule="exact"/>
        <w:ind w:hanging="840" w:firstLineChars="0"/>
        <w:textAlignment w:val="auto"/>
        <w:rPr>
          <w:b/>
          <w:color w:val="000000"/>
        </w:rPr>
      </w:pPr>
      <w:r>
        <w:rPr>
          <w:rFonts w:hint="eastAsia"/>
          <w:b/>
          <w:color w:val="000000"/>
        </w:rPr>
        <w:t>二级指标定性评估得分</w:t>
      </w:r>
    </w:p>
    <w:p>
      <w:pPr>
        <w:pageBreakBefore w:val="0"/>
        <w:widowControl w:val="0"/>
        <w:kinsoku/>
        <w:wordWrap/>
        <w:overflowPunct/>
        <w:topLinePunct w:val="0"/>
        <w:autoSpaceDE/>
        <w:autoSpaceDN/>
        <w:bidi w:val="0"/>
        <w:adjustRightInd/>
        <w:snapToGrid/>
        <w:spacing w:line="460" w:lineRule="exact"/>
        <w:ind w:firstLine="560"/>
        <w:textAlignment w:val="auto"/>
        <w:rPr>
          <w:color w:val="000000"/>
        </w:rPr>
      </w:pPr>
      <w:r>
        <w:rPr>
          <w:rFonts w:hint="eastAsia"/>
          <w:color w:val="000000"/>
        </w:rPr>
        <w:t>二级指标定性评估得分=二级指标相对平均分×相应权重</w:t>
      </w:r>
    </w:p>
    <w:p>
      <w:pPr>
        <w:pStyle w:val="3"/>
        <w:pageBreakBefore w:val="0"/>
        <w:widowControl w:val="0"/>
        <w:numPr>
          <w:ilvl w:val="0"/>
          <w:numId w:val="0"/>
        </w:numPr>
        <w:kinsoku/>
        <w:wordWrap/>
        <w:overflowPunct/>
        <w:topLinePunct w:val="0"/>
        <w:autoSpaceDE/>
        <w:autoSpaceDN/>
        <w:bidi w:val="0"/>
        <w:adjustRightInd/>
        <w:snapToGrid/>
        <w:spacing w:line="460" w:lineRule="exact"/>
        <w:textAlignment w:val="auto"/>
        <w:rPr>
          <w:color w:val="000000"/>
        </w:rPr>
      </w:pPr>
      <w:bookmarkStart w:id="1" w:name="_Toc253078024"/>
      <w:r>
        <w:rPr>
          <w:rFonts w:hint="eastAsia"/>
          <w:color w:val="000000"/>
        </w:rPr>
        <w:t>二、定量评估评分计算统计方法</w:t>
      </w:r>
      <w:bookmarkEnd w:id="1"/>
    </w:p>
    <w:p>
      <w:pPr>
        <w:pStyle w:val="9"/>
        <w:pageBreakBefore w:val="0"/>
        <w:widowControl w:val="0"/>
        <w:numPr>
          <w:ilvl w:val="0"/>
          <w:numId w:val="3"/>
        </w:numPr>
        <w:kinsoku/>
        <w:wordWrap/>
        <w:overflowPunct/>
        <w:topLinePunct w:val="0"/>
        <w:autoSpaceDE/>
        <w:autoSpaceDN/>
        <w:bidi w:val="0"/>
        <w:adjustRightInd/>
        <w:snapToGrid/>
        <w:spacing w:line="460" w:lineRule="exact"/>
        <w:ind w:hanging="840" w:firstLineChars="0"/>
        <w:textAlignment w:val="auto"/>
        <w:rPr>
          <w:b/>
          <w:color w:val="000000"/>
        </w:rPr>
      </w:pPr>
      <w:r>
        <w:rPr>
          <w:rFonts w:hint="eastAsia"/>
          <w:b/>
          <w:color w:val="000000"/>
        </w:rPr>
        <w:t>统计指标分类及程序</w:t>
      </w:r>
    </w:p>
    <w:p>
      <w:pPr>
        <w:pageBreakBefore w:val="0"/>
        <w:widowControl w:val="0"/>
        <w:kinsoku/>
        <w:wordWrap/>
        <w:overflowPunct/>
        <w:topLinePunct w:val="0"/>
        <w:autoSpaceDE/>
        <w:autoSpaceDN/>
        <w:bidi w:val="0"/>
        <w:adjustRightInd/>
        <w:snapToGrid/>
        <w:spacing w:line="460" w:lineRule="exact"/>
        <w:ind w:firstLine="560"/>
        <w:textAlignment w:val="auto"/>
        <w:rPr>
          <w:color w:val="000000"/>
        </w:rPr>
      </w:pPr>
      <w:r>
        <w:rPr>
          <w:rFonts w:hint="eastAsia"/>
          <w:color w:val="000000"/>
        </w:rPr>
        <w:t>定量数据统计指标分为三级指标系统：一级指标、二级指标、考察要点。</w:t>
      </w:r>
    </w:p>
    <w:p>
      <w:pPr>
        <w:pageBreakBefore w:val="0"/>
        <w:widowControl w:val="0"/>
        <w:kinsoku/>
        <w:wordWrap/>
        <w:overflowPunct/>
        <w:topLinePunct w:val="0"/>
        <w:autoSpaceDE/>
        <w:autoSpaceDN/>
        <w:bidi w:val="0"/>
        <w:adjustRightInd/>
        <w:snapToGrid/>
        <w:spacing w:line="460" w:lineRule="exact"/>
        <w:ind w:firstLine="560"/>
        <w:textAlignment w:val="auto"/>
        <w:rPr>
          <w:color w:val="000000"/>
        </w:rPr>
      </w:pPr>
      <w:r>
        <w:rPr>
          <w:rFonts w:hint="eastAsia"/>
          <w:color w:val="000000"/>
        </w:rPr>
        <w:t>计分时，首先计算各考察要点基础分，然后将基础分还原成相对分值，再综合计算二级指标的定量评估得分。</w:t>
      </w:r>
    </w:p>
    <w:p>
      <w:pPr>
        <w:pStyle w:val="9"/>
        <w:pageBreakBefore w:val="0"/>
        <w:widowControl w:val="0"/>
        <w:numPr>
          <w:ilvl w:val="0"/>
          <w:numId w:val="3"/>
        </w:numPr>
        <w:kinsoku/>
        <w:wordWrap/>
        <w:overflowPunct/>
        <w:topLinePunct w:val="0"/>
        <w:autoSpaceDE/>
        <w:autoSpaceDN/>
        <w:bidi w:val="0"/>
        <w:adjustRightInd/>
        <w:snapToGrid/>
        <w:spacing w:line="460" w:lineRule="exact"/>
        <w:ind w:hanging="840" w:firstLineChars="0"/>
        <w:textAlignment w:val="auto"/>
        <w:rPr>
          <w:b/>
          <w:color w:val="000000"/>
        </w:rPr>
      </w:pPr>
      <w:r>
        <w:rPr>
          <w:rFonts w:hint="eastAsia"/>
          <w:b/>
          <w:color w:val="000000"/>
        </w:rPr>
        <w:t>计算每个考察要点基础分</w:t>
      </w:r>
    </w:p>
    <w:p>
      <w:pPr>
        <w:pageBreakBefore w:val="0"/>
        <w:widowControl w:val="0"/>
        <w:kinsoku/>
        <w:wordWrap/>
        <w:overflowPunct/>
        <w:topLinePunct w:val="0"/>
        <w:autoSpaceDE/>
        <w:autoSpaceDN/>
        <w:bidi w:val="0"/>
        <w:adjustRightInd/>
        <w:snapToGrid/>
        <w:spacing w:line="460" w:lineRule="exact"/>
        <w:ind w:firstLine="560"/>
        <w:textAlignment w:val="auto"/>
        <w:rPr>
          <w:color w:val="000000"/>
        </w:rPr>
      </w:pPr>
      <w:r>
        <w:rPr>
          <w:rFonts w:hint="eastAsia"/>
          <w:color w:val="000000"/>
        </w:rPr>
        <w:object>
          <v:shape id="_x0000_i1025" o:spt="75" type="#_x0000_t75" style="height:27.7pt;width:97.1pt;" o:ole="t" filled="f" o:preferrelative="t" stroked="f" coordsize="21600,21600">
            <v:path/>
            <v:fill on="f" focussize="0,0"/>
            <v:stroke on="f" joinstyle="miter"/>
            <v:imagedata r:id="rId6" o:title=""/>
            <o:lock v:ext="edit" aspectratio="t"/>
            <w10:wrap type="none"/>
            <w10:anchorlock/>
          </v:shape>
          <o:OLEObject Type="Embed" ProgID="Equation.DSMT4" ShapeID="_x0000_i1025" DrawAspect="Content" ObjectID="_1468075725" r:id="rId5">
            <o:LockedField>false</o:LockedField>
          </o:OLEObject>
        </w:object>
      </w:r>
    </w:p>
    <w:p>
      <w:pPr>
        <w:pageBreakBefore w:val="0"/>
        <w:widowControl w:val="0"/>
        <w:kinsoku/>
        <w:wordWrap/>
        <w:overflowPunct/>
        <w:topLinePunct w:val="0"/>
        <w:autoSpaceDE/>
        <w:autoSpaceDN/>
        <w:bidi w:val="0"/>
        <w:adjustRightInd/>
        <w:snapToGrid/>
        <w:spacing w:line="460" w:lineRule="exact"/>
        <w:ind w:firstLine="560"/>
        <w:textAlignment w:val="auto"/>
        <w:rPr>
          <w:color w:val="000000"/>
        </w:rPr>
      </w:pPr>
      <w:r>
        <w:rPr>
          <w:rFonts w:hint="eastAsia"/>
          <w:color w:val="000000"/>
        </w:rPr>
        <w:object>
          <v:shape id="_x0000_i1026" o:spt="75" type="#_x0000_t75" style="height:16.75pt;width:18.4pt;" o:ole="t" filled="f" o:preferrelative="t" stroked="f" coordsize="21600,21600">
            <v:path/>
            <v:fill on="f" focussize="0,0"/>
            <v:stroke on="f" joinstyle="miter"/>
            <v:imagedata r:id="rId8" o:title=""/>
            <o:lock v:ext="edit" aspectratio="t"/>
            <w10:wrap type="none"/>
            <w10:anchorlock/>
          </v:shape>
          <o:OLEObject Type="Embed" ProgID="Equation.3" ShapeID="_x0000_i1026" DrawAspect="Content" ObjectID="_1468075726" r:id="rId7">
            <o:LockedField>false</o:LockedField>
          </o:OLEObject>
        </w:object>
      </w:r>
      <w:r>
        <w:rPr>
          <w:rFonts w:hint="eastAsia"/>
          <w:color w:val="000000"/>
        </w:rPr>
        <w:t>－某项考察要点分值</w:t>
      </w:r>
    </w:p>
    <w:p>
      <w:pPr>
        <w:pageBreakBefore w:val="0"/>
        <w:widowControl w:val="0"/>
        <w:kinsoku/>
        <w:wordWrap/>
        <w:overflowPunct/>
        <w:topLinePunct w:val="0"/>
        <w:autoSpaceDE/>
        <w:autoSpaceDN/>
        <w:bidi w:val="0"/>
        <w:adjustRightInd/>
        <w:snapToGrid/>
        <w:spacing w:line="460" w:lineRule="exact"/>
        <w:ind w:firstLine="560"/>
        <w:textAlignment w:val="auto"/>
        <w:rPr>
          <w:color w:val="000000"/>
        </w:rPr>
      </w:pPr>
      <w:r>
        <w:rPr>
          <w:rFonts w:hint="eastAsia"/>
          <w:color w:val="000000"/>
        </w:rPr>
        <w:object>
          <v:shape id="_x0000_i1027" o:spt="75" type="#_x0000_t75" style="height:18.4pt;width:20.1pt;" o:ole="t" filled="f" o:preferrelative="t" stroked="f" coordsize="21600,21600">
            <v:path/>
            <v:fill on="f" focussize="0,0"/>
            <v:stroke on="f" joinstyle="miter"/>
            <v:imagedata r:id="rId10" o:title=""/>
            <o:lock v:ext="edit" aspectratio="t"/>
            <w10:wrap type="none"/>
            <w10:anchorlock/>
          </v:shape>
          <o:OLEObject Type="Embed" ProgID="Equation.3" ShapeID="_x0000_i1027" DrawAspect="Content" ObjectID="_1468075727" r:id="rId9">
            <o:LockedField>false</o:LockedField>
          </o:OLEObject>
        </w:object>
      </w:r>
      <w:r>
        <w:rPr>
          <w:rFonts w:hint="eastAsia"/>
          <w:color w:val="000000"/>
        </w:rPr>
        <w:t>－某项考察要点的基础分</w:t>
      </w:r>
    </w:p>
    <w:p>
      <w:pPr>
        <w:pageBreakBefore w:val="0"/>
        <w:widowControl w:val="0"/>
        <w:kinsoku/>
        <w:wordWrap/>
        <w:overflowPunct/>
        <w:topLinePunct w:val="0"/>
        <w:autoSpaceDE/>
        <w:autoSpaceDN/>
        <w:bidi w:val="0"/>
        <w:adjustRightInd/>
        <w:snapToGrid/>
        <w:spacing w:line="460" w:lineRule="exact"/>
        <w:ind w:firstLine="560"/>
        <w:textAlignment w:val="auto"/>
        <w:rPr>
          <w:color w:val="000000"/>
        </w:rPr>
      </w:pPr>
      <w:r>
        <w:rPr>
          <w:rFonts w:hint="eastAsia"/>
          <w:color w:val="000000"/>
        </w:rPr>
        <w:object>
          <v:shape id="_x0000_i1028" o:spt="75" type="#_x0000_t75" style="height:28.45pt;width:19.95pt;" o:ole="t" filled="f" o:preferrelative="t" stroked="f" coordsize="21600,21600">
            <v:path/>
            <v:fill on="f" focussize="0,0"/>
            <v:stroke on="f" joinstyle="miter"/>
            <v:imagedata r:id="rId12" o:title=""/>
            <o:lock v:ext="edit" aspectratio="t"/>
            <w10:wrap type="none"/>
            <w10:anchorlock/>
          </v:shape>
          <o:OLEObject Type="Embed" ProgID="Equation.DSMT4" ShapeID="_x0000_i1028" DrawAspect="Content" ObjectID="_1468075728" r:id="rId11">
            <o:LockedField>false</o:LockedField>
          </o:OLEObject>
        </w:object>
      </w:r>
      <w:r>
        <w:rPr>
          <w:rFonts w:hint="eastAsia"/>
          <w:color w:val="000000"/>
        </w:rPr>
        <w:t>－某项考察要点的调查数据</w:t>
      </w:r>
    </w:p>
    <w:p>
      <w:pPr>
        <w:pStyle w:val="9"/>
        <w:pageBreakBefore w:val="0"/>
        <w:widowControl w:val="0"/>
        <w:numPr>
          <w:ilvl w:val="0"/>
          <w:numId w:val="3"/>
        </w:numPr>
        <w:kinsoku/>
        <w:wordWrap/>
        <w:overflowPunct/>
        <w:topLinePunct w:val="0"/>
        <w:autoSpaceDE/>
        <w:autoSpaceDN/>
        <w:bidi w:val="0"/>
        <w:adjustRightInd/>
        <w:snapToGrid/>
        <w:spacing w:line="460" w:lineRule="exact"/>
        <w:ind w:hanging="840" w:firstLineChars="0"/>
        <w:textAlignment w:val="auto"/>
        <w:rPr>
          <w:b/>
          <w:color w:val="000000"/>
        </w:rPr>
      </w:pPr>
      <w:r>
        <w:rPr>
          <w:rFonts w:hint="eastAsia"/>
          <w:b/>
          <w:color w:val="000000"/>
        </w:rPr>
        <w:t>计算考察要点相对分值</w: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color w:val="000000"/>
          <w:szCs w:val="28"/>
          <w:vertAlign w:val="subscript"/>
        </w:rPr>
      </w:pPr>
      <w:r>
        <w:rPr>
          <w:rFonts w:hint="eastAsia" w:ascii="仿宋_GB2312"/>
          <w:color w:val="000000"/>
          <w:szCs w:val="28"/>
        </w:rPr>
        <w:t>1）计算某项考察要点基础分</w:t>
      </w:r>
      <w:r>
        <w:rPr>
          <w:rFonts w:hint="eastAsia"/>
          <w:color w:val="000000"/>
          <w:position w:val="-12"/>
        </w:rPr>
        <w:object>
          <v:shape id="_x0000_i1029" o:spt="75" type="#_x0000_t75" style="height:27.65pt;width:20.1pt;" o:ole="t" filled="f" o:preferrelative="t" stroked="f" coordsize="21600,21600">
            <v:path/>
            <v:fill on="f" focussize="0,0"/>
            <v:stroke on="f" joinstyle="miter"/>
            <v:imagedata r:id="rId14" o:title=""/>
            <o:lock v:ext="edit" aspectratio="t"/>
            <w10:wrap type="none"/>
            <w10:anchorlock/>
          </v:shape>
          <o:OLEObject Type="Embed" ProgID="Equation.DSMT4" ShapeID="_x0000_i1029" DrawAspect="Content" ObjectID="_1468075729" r:id="rId13">
            <o:LockedField>false</o:LockedField>
          </o:OLEObject>
        </w:objec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color w:val="000000"/>
          <w:szCs w:val="28"/>
        </w:rPr>
      </w:pPr>
      <w:r>
        <w:rPr>
          <w:rFonts w:hint="eastAsia"/>
          <w:color w:val="000000"/>
          <w:position w:val="-12"/>
        </w:rPr>
        <w:object>
          <v:shape id="_x0000_i1030" o:spt="75" type="#_x0000_t75" style="height:27.65pt;width:20.1pt;" o:ole="t" filled="f" o:preferrelative="t" stroked="f" coordsize="21600,21600">
            <v:path/>
            <v:fill on="f" focussize="0,0"/>
            <v:stroke on="f" joinstyle="miter"/>
            <v:imagedata r:id="rId14" o:title=""/>
            <o:lock v:ext="edit" aspectratio="t"/>
            <w10:wrap type="none"/>
            <w10:anchorlock/>
          </v:shape>
          <o:OLEObject Type="Embed" ProgID="Equation.DSMT4" ShapeID="_x0000_i1030" DrawAspect="Content" ObjectID="_1468075730" r:id="rId15">
            <o:LockedField>false</o:LockedField>
          </o:OLEObject>
        </w:object>
      </w:r>
      <w:r>
        <w:rPr>
          <w:rFonts w:hint="eastAsia"/>
          <w:color w:val="000000"/>
          <w:position w:val="-12"/>
        </w:rPr>
        <w:t>=</w:t>
      </w:r>
      <w:r>
        <w:rPr>
          <w:rFonts w:hint="eastAsia"/>
          <w:color w:val="000000"/>
          <w:position w:val="-6"/>
        </w:rPr>
        <w:object>
          <v:shape id="_x0000_i1031" o:spt="75" type="#_x0000_t75" style="height:16.75pt;width:18.4pt;" o:ole="t" filled="f" o:preferrelative="t" stroked="f" coordsize="21600,21600">
            <v:path/>
            <v:fill on="f" focussize="0,0"/>
            <v:stroke on="f" joinstyle="miter"/>
            <v:imagedata r:id="rId8" o:title=""/>
            <o:lock v:ext="edit" aspectratio="t"/>
            <w10:wrap type="none"/>
            <w10:anchorlock/>
          </v:shape>
          <o:OLEObject Type="Embed" ProgID="Equation.3" ShapeID="_x0000_i1031" DrawAspect="Content" ObjectID="_1468075731" r:id="rId16">
            <o:LockedField>false</o:LockedField>
          </o:OLEObject>
        </w:object>
      </w:r>
      <w:r>
        <w:rPr>
          <w:rFonts w:hint="eastAsia" w:ascii="仿宋_GB2312"/>
          <w:color w:val="000000"/>
          <w:szCs w:val="28"/>
        </w:rPr>
        <w:tab/>
      </w:r>
    </w:p>
    <w:p>
      <w:pPr>
        <w:pageBreakBefore w:val="0"/>
        <w:widowControl w:val="0"/>
        <w:tabs>
          <w:tab w:val="left" w:pos="720"/>
        </w:tabs>
        <w:kinsoku/>
        <w:wordWrap/>
        <w:overflowPunct/>
        <w:topLinePunct w:val="0"/>
        <w:autoSpaceDE/>
        <w:autoSpaceDN/>
        <w:bidi w:val="0"/>
        <w:adjustRightInd/>
        <w:snapToGrid/>
        <w:spacing w:before="62" w:beforeLines="20" w:line="460" w:lineRule="exact"/>
        <w:ind w:firstLine="560"/>
        <w:textAlignment w:val="auto"/>
        <w:rPr>
          <w:rFonts w:ascii="仿宋_GB2312"/>
          <w:color w:val="000000"/>
          <w:szCs w:val="28"/>
        </w:rPr>
      </w:pPr>
      <w:r>
        <w:rPr>
          <w:rFonts w:hint="eastAsia" w:ascii="仿宋_GB2312"/>
          <w:color w:val="000000"/>
          <w:szCs w:val="28"/>
        </w:rPr>
        <w:t>2）计算考察要点相对分值</w:t>
      </w:r>
      <w:r>
        <w:rPr>
          <w:rFonts w:hint="eastAsia"/>
          <w:color w:val="000000"/>
          <w:position w:val="-6"/>
        </w:rPr>
        <w:object>
          <v:shape id="_x0000_i1032" o:spt="75" type="#_x0000_t75" style="height:18.4pt;width:20.1pt;" o:ole="t" filled="f" o:preferrelative="t" stroked="f" coordsize="21600,21600">
            <v:path/>
            <v:fill on="f" focussize="0,0"/>
            <v:stroke on="f" joinstyle="miter"/>
            <v:imagedata r:id="rId18" o:title=""/>
            <o:lock v:ext="edit" aspectratio="t"/>
            <w10:wrap type="none"/>
            <w10:anchorlock/>
          </v:shape>
          <o:OLEObject Type="Embed" ProgID="Equation.3" ShapeID="_x0000_i1032" DrawAspect="Content" ObjectID="_1468075732" r:id="rId17">
            <o:LockedField>false</o:LockedField>
          </o:OLEObject>
        </w:objec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color w:val="000000"/>
          <w:szCs w:val="28"/>
        </w:rPr>
      </w:pPr>
      <w:r>
        <w:rPr>
          <w:rFonts w:hint="eastAsia"/>
          <w:color w:val="000000"/>
          <w:position w:val="-16"/>
        </w:rPr>
        <w:object>
          <v:shape id="_x0000_i1033" o:spt="75" type="#_x0000_t75" style="height:27.65pt;width:267.15pt;" o:ole="t" filled="f" o:preferrelative="t" stroked="f" coordsize="21600,21600">
            <v:path/>
            <v:fill on="f" focussize="0,0"/>
            <v:stroke on="f" joinstyle="miter"/>
            <v:imagedata r:id="rId20" o:title=""/>
            <o:lock v:ext="edit" aspectratio="t"/>
            <w10:wrap type="none"/>
            <w10:anchorlock/>
          </v:shape>
          <o:OLEObject Type="Embed" ProgID="Equation.3" ShapeID="_x0000_i1033" DrawAspect="Content" ObjectID="_1468075733" r:id="rId19">
            <o:LockedField>false</o:LockedField>
          </o:OLEObject>
        </w:objec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color w:val="000000"/>
          <w:szCs w:val="28"/>
        </w:rPr>
      </w:pPr>
      <w:r>
        <w:rPr>
          <w:rFonts w:hint="eastAsia"/>
          <w:color w:val="000000"/>
          <w:position w:val="-4"/>
        </w:rPr>
        <w:object>
          <v:shape id="_x0000_i1034" o:spt="75" type="#_x0000_t75" style="height:16.75pt;width:10.9pt;" o:ole="t" filled="f" o:preferrelative="t" stroked="f" coordsize="21600,21600">
            <v:path/>
            <v:fill on="f" focussize="0,0"/>
            <v:stroke on="f" joinstyle="miter"/>
            <v:imagedata r:id="rId22" o:title=""/>
            <o:lock v:ext="edit" aspectratio="t"/>
            <w10:wrap type="none"/>
            <w10:anchorlock/>
          </v:shape>
          <o:OLEObject Type="Embed" ProgID="Equation.3" ShapeID="_x0000_i1034" DrawAspect="Content" ObjectID="_1468075734" r:id="rId21">
            <o:LockedField>false</o:LockedField>
          </o:OLEObject>
        </w:object>
      </w:r>
      <w:r>
        <w:rPr>
          <w:rFonts w:hint="eastAsia" w:ascii="仿宋_GB2312"/>
          <w:color w:val="000000"/>
          <w:szCs w:val="28"/>
        </w:rPr>
        <w:t>－原始分权重值=考察要点原始分/二级定量指标原始分</w: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b/>
          <w:bCs/>
          <w:color w:val="000000"/>
          <w:szCs w:val="28"/>
        </w:rPr>
      </w:pPr>
      <w:r>
        <w:rPr>
          <w:rFonts w:hint="eastAsia"/>
          <w:color w:val="000000"/>
          <w:position w:val="-12"/>
        </w:rPr>
        <w:object>
          <v:shape id="_x0000_i1035" o:spt="75" type="#_x0000_t75" style="height:27.65pt;width:20.1pt;" o:ole="t" filled="f" o:preferrelative="t" stroked="f" coordsize="21600,21600">
            <v:path/>
            <v:fill on="f" focussize="0,0"/>
            <v:stroke on="f" joinstyle="miter"/>
            <v:imagedata r:id="rId14" o:title=""/>
            <o:lock v:ext="edit" aspectratio="t"/>
            <w10:wrap type="none"/>
            <w10:anchorlock/>
          </v:shape>
          <o:OLEObject Type="Embed" ProgID="Equation.DSMT4" ShapeID="_x0000_i1035" DrawAspect="Content" ObjectID="_1468075735" r:id="rId23">
            <o:LockedField>false</o:LockedField>
          </o:OLEObject>
        </w:object>
      </w:r>
      <w:r>
        <w:rPr>
          <w:rFonts w:hint="eastAsia" w:ascii="仿宋_GB2312"/>
          <w:color w:val="000000"/>
          <w:szCs w:val="28"/>
        </w:rPr>
        <w:t>－某项考察要点基础分值</w:t>
      </w:r>
    </w:p>
    <w:p>
      <w:pPr>
        <w:pageBreakBefore w:val="0"/>
        <w:widowControl w:val="0"/>
        <w:tabs>
          <w:tab w:val="left" w:pos="720"/>
        </w:tabs>
        <w:kinsoku/>
        <w:wordWrap/>
        <w:overflowPunct/>
        <w:topLinePunct w:val="0"/>
        <w:autoSpaceDE/>
        <w:autoSpaceDN/>
        <w:bidi w:val="0"/>
        <w:adjustRightInd/>
        <w:snapToGrid/>
        <w:spacing w:before="62" w:beforeLines="20" w:line="460" w:lineRule="exact"/>
        <w:ind w:firstLine="560"/>
        <w:textAlignment w:val="auto"/>
        <w:rPr>
          <w:rFonts w:ascii="仿宋_GB2312"/>
          <w:b/>
          <w:bCs/>
          <w:color w:val="000000"/>
          <w:szCs w:val="28"/>
        </w:rPr>
      </w:pPr>
      <w:r>
        <w:rPr>
          <w:rFonts w:hint="eastAsia"/>
          <w:color w:val="000000"/>
          <w:position w:val="-6"/>
        </w:rPr>
        <w:object>
          <v:shape id="_x0000_i1036" o:spt="75" type="#_x0000_t75" style="height:15.05pt;width:18.4pt;" o:ole="t" filled="f" o:preferrelative="t" stroked="f" coordsize="21600,21600">
            <v:path/>
            <v:fill on="f" focussize="0,0"/>
            <v:stroke on="f" joinstyle="miter"/>
            <v:imagedata r:id="rId25" o:title=""/>
            <o:lock v:ext="edit" aspectratio="t"/>
            <w10:wrap type="none"/>
            <w10:anchorlock/>
          </v:shape>
          <o:OLEObject Type="Embed" ProgID="Equation.3" ShapeID="_x0000_i1036" DrawAspect="Content" ObjectID="_1468075736" r:id="rId24">
            <o:LockedField>false</o:LockedField>
          </o:OLEObject>
        </w:object>
      </w:r>
      <w:r>
        <w:rPr>
          <w:rFonts w:hint="eastAsia" w:ascii="仿宋_GB2312"/>
          <w:b/>
          <w:bCs/>
          <w:color w:val="000000"/>
          <w:szCs w:val="28"/>
        </w:rPr>
        <w:t>－</w:t>
      </w:r>
      <w:r>
        <w:rPr>
          <w:rFonts w:hint="eastAsia" w:ascii="仿宋_GB2312"/>
          <w:color w:val="000000"/>
          <w:szCs w:val="28"/>
        </w:rPr>
        <w:t>所有同级别参评博物馆该项考察要点的基础分平均值</w: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color w:val="000000"/>
          <w:szCs w:val="28"/>
        </w:rPr>
      </w:pPr>
      <w:r>
        <w:rPr>
          <w:rFonts w:hint="eastAsia"/>
          <w:color w:val="000000"/>
          <w:position w:val="-6"/>
        </w:rPr>
        <w:object>
          <v:shape id="_x0000_i1037" o:spt="75" type="#_x0000_t75" style="height:15.05pt;width:27.65pt;" o:ole="t" filled="f" o:preferrelative="t" stroked="f" coordsize="21600,21600">
            <v:path/>
            <v:fill on="f" focussize="0,0"/>
            <v:stroke on="f" joinstyle="miter"/>
            <v:imagedata r:id="rId27" o:title=""/>
            <o:lock v:ext="edit" aspectratio="t"/>
            <w10:wrap type="none"/>
            <w10:anchorlock/>
          </v:shape>
          <o:OLEObject Type="Embed" ProgID="Equation.3" ShapeID="_x0000_i1037" DrawAspect="Content" ObjectID="_1468075737" r:id="rId26">
            <o:LockedField>false</o:LockedField>
          </o:OLEObject>
        </w:object>
      </w:r>
      <w:r>
        <w:rPr>
          <w:rFonts w:hint="eastAsia" w:ascii="仿宋_GB2312"/>
          <w:color w:val="000000"/>
          <w:szCs w:val="28"/>
        </w:rPr>
        <w:t>－所有同级别参评博物馆该项考察要点的基础分最大值</w:t>
      </w:r>
    </w:p>
    <w:p>
      <w:pPr>
        <w:pStyle w:val="9"/>
        <w:pageBreakBefore w:val="0"/>
        <w:widowControl w:val="0"/>
        <w:numPr>
          <w:ilvl w:val="0"/>
          <w:numId w:val="3"/>
        </w:numPr>
        <w:kinsoku/>
        <w:wordWrap/>
        <w:overflowPunct/>
        <w:topLinePunct w:val="0"/>
        <w:autoSpaceDE/>
        <w:autoSpaceDN/>
        <w:bidi w:val="0"/>
        <w:adjustRightInd/>
        <w:snapToGrid/>
        <w:spacing w:line="460" w:lineRule="exact"/>
        <w:ind w:hanging="840" w:firstLineChars="0"/>
        <w:textAlignment w:val="auto"/>
        <w:rPr>
          <w:b/>
          <w:color w:val="000000"/>
        </w:rPr>
      </w:pPr>
      <w:r>
        <w:rPr>
          <w:rFonts w:hint="eastAsia"/>
          <w:b/>
          <w:color w:val="000000"/>
        </w:rPr>
        <w:t>计算二级指标相对得分</w:t>
      </w:r>
      <w:r>
        <w:rPr>
          <w:b/>
          <w:color w:val="000000"/>
        </w:rPr>
        <w:object>
          <v:shape id="_x0000_i1038" o:spt="75" type="#_x0000_t75" style="height:13.4pt;width:18.4pt;" o:ole="t" filled="f" o:preferrelative="t" stroked="f" coordsize="21600,21600">
            <v:path/>
            <v:fill on="f" focussize="0,0"/>
            <v:stroke on="f" joinstyle="miter"/>
            <v:imagedata r:id="rId29" o:title=""/>
            <o:lock v:ext="edit" aspectratio="t"/>
            <w10:wrap type="none"/>
            <w10:anchorlock/>
          </v:shape>
          <o:OLEObject Type="Embed" ProgID="Equation.DSMT4" ShapeID="_x0000_i1038" DrawAspect="Content" ObjectID="_1468075738" r:id="rId28">
            <o:LockedField>false</o:LockedField>
          </o:OLEObject>
        </w:objec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color w:val="000000"/>
          <w:szCs w:val="28"/>
        </w:rPr>
      </w:pPr>
      <w:r>
        <w:rPr>
          <w:rFonts w:hint="eastAsia"/>
          <w:color w:val="000000"/>
          <w:position w:val="-14"/>
        </w:rPr>
        <w:object>
          <v:shape id="_x0000_i1039" o:spt="75" type="#_x0000_t75" style="height:20.1pt;width:61.1pt;" o:ole="t" filled="f" o:preferrelative="t" stroked="f" coordsize="21600,21600">
            <v:path/>
            <v:fill on="f" focussize="0,0"/>
            <v:stroke on="f" joinstyle="miter"/>
            <v:imagedata r:id="rId31" o:title=""/>
            <o:lock v:ext="edit" aspectratio="t"/>
            <w10:wrap type="none"/>
            <w10:anchorlock/>
          </v:shape>
          <o:OLEObject Type="Embed" ProgID="Equation.3" ShapeID="_x0000_i1039" DrawAspect="Content" ObjectID="_1468075739" r:id="rId30">
            <o:LockedField>false</o:LockedField>
          </o:OLEObject>
        </w:objec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color w:val="000000"/>
          <w:szCs w:val="28"/>
        </w:rPr>
      </w:pPr>
      <w:r>
        <w:rPr>
          <w:rFonts w:hint="eastAsia"/>
          <w:color w:val="000000"/>
          <w:position w:val="-6"/>
        </w:rPr>
        <w:object>
          <v:shape id="_x0000_i1040" o:spt="75" type="#_x0000_t75" style="height:18.4pt;width:20.1pt;" o:ole="t" filled="f" o:preferrelative="t" stroked="f" coordsize="21600,21600">
            <v:path/>
            <v:fill on="f" focussize="0,0"/>
            <v:stroke on="f" joinstyle="miter"/>
            <v:imagedata r:id="rId18" o:title=""/>
            <o:lock v:ext="edit" aspectratio="t"/>
            <w10:wrap type="none"/>
            <w10:anchorlock/>
          </v:shape>
          <o:OLEObject Type="Embed" ProgID="Equation.3" ShapeID="_x0000_i1040" DrawAspect="Content" ObjectID="_1468075740" r:id="rId32">
            <o:LockedField>false</o:LockedField>
          </o:OLEObject>
        </w:object>
      </w:r>
      <w:r>
        <w:rPr>
          <w:rFonts w:hint="eastAsia" w:ascii="仿宋_GB2312"/>
          <w:color w:val="000000"/>
          <w:szCs w:val="28"/>
        </w:rPr>
        <w:t>－某项考察要点相对分值</w:t>
      </w:r>
    </w:p>
    <w:p>
      <w:pPr>
        <w:pStyle w:val="9"/>
        <w:pageBreakBefore w:val="0"/>
        <w:widowControl w:val="0"/>
        <w:numPr>
          <w:ilvl w:val="0"/>
          <w:numId w:val="3"/>
        </w:numPr>
        <w:kinsoku/>
        <w:wordWrap/>
        <w:overflowPunct/>
        <w:topLinePunct w:val="0"/>
        <w:autoSpaceDE/>
        <w:autoSpaceDN/>
        <w:bidi w:val="0"/>
        <w:adjustRightInd/>
        <w:snapToGrid/>
        <w:spacing w:line="460" w:lineRule="exact"/>
        <w:ind w:hanging="840" w:firstLineChars="0"/>
        <w:textAlignment w:val="auto"/>
        <w:rPr>
          <w:b/>
          <w:color w:val="000000"/>
        </w:rPr>
      </w:pPr>
      <w:r>
        <w:rPr>
          <w:rFonts w:hint="eastAsia"/>
          <w:b/>
          <w:color w:val="000000"/>
        </w:rPr>
        <w:t>计算二级指标定量评估得分</w: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color w:val="000000"/>
          <w:szCs w:val="28"/>
        </w:rPr>
      </w:pPr>
      <w:r>
        <w:rPr>
          <w:rFonts w:hint="eastAsia"/>
          <w:color w:val="000000"/>
        </w:rPr>
        <w:t>二级指标定量评估得分=二级指标相对得分×相应权重</w:t>
      </w:r>
    </w:p>
    <w:p>
      <w:pPr>
        <w:pStyle w:val="3"/>
        <w:pageBreakBefore w:val="0"/>
        <w:widowControl w:val="0"/>
        <w:numPr>
          <w:ilvl w:val="0"/>
          <w:numId w:val="0"/>
        </w:numPr>
        <w:kinsoku/>
        <w:wordWrap/>
        <w:overflowPunct/>
        <w:topLinePunct w:val="0"/>
        <w:autoSpaceDE/>
        <w:autoSpaceDN/>
        <w:bidi w:val="0"/>
        <w:adjustRightInd/>
        <w:snapToGrid/>
        <w:spacing w:line="460" w:lineRule="exact"/>
        <w:textAlignment w:val="auto"/>
        <w:rPr>
          <w:color w:val="000000"/>
        </w:rPr>
      </w:pPr>
      <w:bookmarkStart w:id="2" w:name="_Toc253078025"/>
      <w:r>
        <w:rPr>
          <w:rFonts w:hint="eastAsia"/>
          <w:color w:val="000000"/>
        </w:rPr>
        <w:t>三、</w:t>
      </w:r>
      <w:bookmarkEnd w:id="2"/>
      <w:r>
        <w:rPr>
          <w:rFonts w:hint="eastAsia"/>
          <w:color w:val="000000"/>
        </w:rPr>
        <w:t>评估成绩</w:t>
      </w:r>
    </w:p>
    <w:p>
      <w:pPr>
        <w:pStyle w:val="9"/>
        <w:pageBreakBefore w:val="0"/>
        <w:widowControl w:val="0"/>
        <w:numPr>
          <w:ilvl w:val="0"/>
          <w:numId w:val="4"/>
        </w:numPr>
        <w:kinsoku/>
        <w:wordWrap/>
        <w:overflowPunct/>
        <w:topLinePunct w:val="0"/>
        <w:autoSpaceDE/>
        <w:autoSpaceDN/>
        <w:bidi w:val="0"/>
        <w:adjustRightInd/>
        <w:snapToGrid/>
        <w:spacing w:line="460" w:lineRule="exact"/>
        <w:ind w:firstLineChars="0"/>
        <w:textAlignment w:val="auto"/>
        <w:rPr>
          <w:b/>
          <w:color w:val="000000"/>
        </w:rPr>
      </w:pPr>
      <w:r>
        <w:rPr>
          <w:rFonts w:hint="eastAsia"/>
          <w:b/>
          <w:color w:val="000000"/>
        </w:rPr>
        <w:t>统计二级指标最终得分</w:t>
      </w:r>
    </w:p>
    <w:p>
      <w:pPr>
        <w:pageBreakBefore w:val="0"/>
        <w:widowControl w:val="0"/>
        <w:kinsoku/>
        <w:wordWrap/>
        <w:overflowPunct/>
        <w:topLinePunct w:val="0"/>
        <w:autoSpaceDE/>
        <w:autoSpaceDN/>
        <w:bidi w:val="0"/>
        <w:adjustRightInd/>
        <w:snapToGrid/>
        <w:spacing w:before="156" w:beforeLines="50" w:line="460" w:lineRule="exact"/>
        <w:ind w:firstLine="560"/>
        <w:textAlignment w:val="auto"/>
        <w:rPr>
          <w:rFonts w:ascii="仿宋_GB2312"/>
          <w:color w:val="000000"/>
          <w:szCs w:val="28"/>
        </w:rPr>
      </w:pPr>
      <w:r>
        <w:rPr>
          <w:rFonts w:hint="eastAsia" w:ascii="仿宋_GB2312"/>
          <w:color w:val="000000"/>
          <w:szCs w:val="28"/>
        </w:rPr>
        <w:t>博物馆运行评估最终得分的计算采用线性加权综合法，首先计算各二级指标最终得分：</w: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color w:val="000000"/>
          <w:szCs w:val="28"/>
        </w:rPr>
      </w:pPr>
      <w:r>
        <w:rPr>
          <w:rFonts w:hint="eastAsia"/>
          <w:color w:val="000000"/>
          <w:position w:val="-14"/>
        </w:rPr>
        <w:object>
          <v:shape id="_x0000_i1041" o:spt="75" type="#_x0000_t75" style="height:27.65pt;width:133.95pt;" o:ole="t" filled="f" o:preferrelative="t" stroked="f" coordsize="21600,21600">
            <v:path/>
            <v:fill on="f" focussize="0,0"/>
            <v:stroke on="f" joinstyle="miter"/>
            <v:imagedata r:id="rId34" o:title=""/>
            <o:lock v:ext="edit" aspectratio="t"/>
            <w10:wrap type="none"/>
            <w10:anchorlock/>
          </v:shape>
          <o:OLEObject Type="Embed" ProgID="Equation.3" ShapeID="_x0000_i1041" DrawAspect="Content" ObjectID="_1468075741" r:id="rId33">
            <o:LockedField>false</o:LockedField>
          </o:OLEObject>
        </w:objec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hAnsi="宋体"/>
          <w:color w:val="000000"/>
          <w:szCs w:val="28"/>
        </w:rPr>
      </w:pPr>
      <w:r>
        <w:rPr>
          <w:color w:val="000000"/>
          <w:position w:val="-10"/>
        </w:rPr>
        <w:object>
          <v:shape id="_x0000_i1042" o:spt="75" type="#_x0000_t75" style="height:20.1pt;width:13.4pt;" o:ole="t" filled="f" o:preferrelative="t" stroked="f" coordsize="21600,21600">
            <v:path/>
            <v:fill on="f" focussize="0,0"/>
            <v:stroke on="f" joinstyle="miter"/>
            <v:imagedata r:id="rId36" o:title=""/>
            <o:lock v:ext="edit" aspectratio="t"/>
            <w10:wrap type="none"/>
            <w10:anchorlock/>
          </v:shape>
          <o:OLEObject Type="Embed" ProgID="Equation.DSMT4" ShapeID="_x0000_i1042" DrawAspect="Content" ObjectID="_1468075742" r:id="rId35">
            <o:LockedField>false</o:LockedField>
          </o:OLEObject>
        </w:object>
      </w:r>
      <w:r>
        <w:rPr>
          <w:rFonts w:hint="eastAsia" w:ascii="仿宋_GB2312"/>
          <w:color w:val="000000"/>
          <w:szCs w:val="28"/>
        </w:rPr>
        <w:t>－</w:t>
      </w:r>
      <w:r>
        <w:rPr>
          <w:rFonts w:hint="eastAsia" w:ascii="仿宋_GB2312" w:hAnsi="宋体"/>
          <w:color w:val="000000"/>
          <w:szCs w:val="28"/>
        </w:rPr>
        <w:t>最终评估得分值，</w: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hAnsi="宋体"/>
          <w:color w:val="000000"/>
          <w:szCs w:val="28"/>
        </w:rPr>
      </w:pPr>
      <w:r>
        <w:rPr>
          <w:rFonts w:hint="eastAsia"/>
          <w:color w:val="000000"/>
          <w:position w:val="-14"/>
        </w:rPr>
        <w:object>
          <v:shape id="_x0000_i1043" o:spt="75" type="#_x0000_t75" style="height:25.1pt;width:31.8pt;" o:ole="t" filled="f" o:preferrelative="t" stroked="f" coordsize="21600,21600">
            <v:path/>
            <v:fill on="f" focussize="0,0"/>
            <v:stroke on="f" joinstyle="miter"/>
            <v:imagedata r:id="rId38" o:title=""/>
            <o:lock v:ext="edit" aspectratio="t"/>
            <w10:wrap type="none"/>
            <w10:anchorlock/>
          </v:shape>
          <o:OLEObject Type="Embed" ProgID="Equation.3" ShapeID="_x0000_i1043" DrawAspect="Content" ObjectID="_1468075743" r:id="rId37">
            <o:LockedField>false</o:LockedField>
          </o:OLEObject>
        </w:object>
      </w:r>
      <w:r>
        <w:rPr>
          <w:rFonts w:hint="eastAsia" w:ascii="仿宋_GB2312"/>
          <w:color w:val="000000"/>
          <w:szCs w:val="28"/>
        </w:rPr>
        <w:t>－二级指标</w:t>
      </w:r>
      <w:r>
        <w:rPr>
          <w:rFonts w:hint="eastAsia" w:ascii="仿宋_GB2312" w:hAnsi="宋体"/>
          <w:color w:val="000000"/>
          <w:szCs w:val="28"/>
        </w:rPr>
        <w:t>定性评估得分值，</w: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hAnsi="宋体"/>
          <w:color w:val="000000"/>
          <w:szCs w:val="28"/>
        </w:rPr>
      </w:pPr>
      <w:r>
        <w:rPr>
          <w:rFonts w:hint="eastAsia"/>
          <w:color w:val="000000"/>
          <w:position w:val="-6"/>
        </w:rPr>
        <w:object>
          <v:shape id="_x0000_i1044" o:spt="75" type="#_x0000_t75" style="height:18.4pt;width:31.8pt;" o:ole="t" filled="f" o:preferrelative="t" stroked="f" coordsize="21600,21600">
            <v:path/>
            <v:fill on="f" focussize="0,0"/>
            <v:stroke on="f" joinstyle="miter"/>
            <v:imagedata r:id="rId40" o:title=""/>
            <o:lock v:ext="edit" aspectratio="t"/>
            <w10:wrap type="none"/>
            <w10:anchorlock/>
          </v:shape>
          <o:OLEObject Type="Embed" ProgID="Equation.3" ShapeID="_x0000_i1044" DrawAspect="Content" ObjectID="_1468075744" r:id="rId39">
            <o:LockedField>false</o:LockedField>
          </o:OLEObject>
        </w:object>
      </w:r>
      <w:r>
        <w:rPr>
          <w:rFonts w:hint="eastAsia" w:ascii="仿宋_GB2312"/>
          <w:color w:val="000000"/>
          <w:szCs w:val="28"/>
        </w:rPr>
        <w:t>－二级指标</w:t>
      </w:r>
      <w:r>
        <w:rPr>
          <w:rFonts w:hint="eastAsia" w:ascii="仿宋_GB2312" w:hAnsi="宋体"/>
          <w:color w:val="000000"/>
          <w:szCs w:val="28"/>
        </w:rPr>
        <w:t>定量评估得分值，</w:t>
      </w:r>
    </w:p>
    <w:p>
      <w:pPr>
        <w:pageBreakBefore w:val="0"/>
        <w:widowControl w:val="0"/>
        <w:kinsoku/>
        <w:wordWrap/>
        <w:overflowPunct/>
        <w:topLinePunct w:val="0"/>
        <w:autoSpaceDE/>
        <w:autoSpaceDN/>
        <w:bidi w:val="0"/>
        <w:adjustRightInd/>
        <w:snapToGrid/>
        <w:spacing w:before="62" w:beforeLines="20" w:line="460" w:lineRule="exact"/>
        <w:ind w:firstLine="560"/>
        <w:textAlignment w:val="auto"/>
        <w:rPr>
          <w:rFonts w:ascii="仿宋_GB2312" w:hAnsi="宋体"/>
          <w:color w:val="000000"/>
          <w:szCs w:val="28"/>
        </w:rPr>
      </w:pPr>
      <w:r>
        <w:rPr>
          <w:rFonts w:hint="eastAsia"/>
          <w:color w:val="000000"/>
          <w:position w:val="-10"/>
        </w:rPr>
        <w:object>
          <v:shape id="_x0000_i1045" o:spt="75" type="#_x0000_t75" style="height:20.1pt;width:15.05pt;" o:ole="t" filled="f" o:preferrelative="t" stroked="f" coordsize="21600,21600">
            <v:path/>
            <v:fill on="f" focussize="0,0"/>
            <v:stroke on="f" joinstyle="miter"/>
            <v:imagedata r:id="rId42" o:title=""/>
            <o:lock v:ext="edit" aspectratio="t"/>
            <w10:wrap type="none"/>
            <w10:anchorlock/>
          </v:shape>
          <o:OLEObject Type="Embed" ProgID="Equation.3" ShapeID="_x0000_i1045" DrawAspect="Content" ObjectID="_1468075745" r:id="rId41">
            <o:LockedField>false</o:LockedField>
          </o:OLEObject>
        </w:object>
      </w:r>
      <w:r>
        <w:rPr>
          <w:rFonts w:hint="eastAsia" w:ascii="仿宋_GB2312"/>
          <w:color w:val="000000"/>
          <w:szCs w:val="28"/>
        </w:rPr>
        <w:t>，</w:t>
      </w:r>
      <w:r>
        <w:rPr>
          <w:rFonts w:hint="eastAsia"/>
          <w:color w:val="000000"/>
          <w:position w:val="-10"/>
        </w:rPr>
        <w:object>
          <v:shape id="_x0000_i1046" o:spt="75" type="#_x0000_t75" style="height:20.1pt;width:20.1pt;" o:ole="t" filled="f" o:preferrelative="t" stroked="f" coordsize="21600,21600">
            <v:path/>
            <v:fill on="f" focussize="0,0"/>
            <v:stroke on="f" joinstyle="miter"/>
            <v:imagedata r:id="rId44" o:title=""/>
            <o:lock v:ext="edit" aspectratio="t"/>
            <w10:wrap type="none"/>
            <w10:anchorlock/>
          </v:shape>
          <o:OLEObject Type="Embed" ProgID="Equation.3" ShapeID="_x0000_i1046" DrawAspect="Content" ObjectID="_1468075746" r:id="rId43">
            <o:LockedField>false</o:LockedField>
          </o:OLEObject>
        </w:object>
      </w:r>
      <w:r>
        <w:rPr>
          <w:rFonts w:hint="eastAsia" w:ascii="仿宋_GB2312"/>
          <w:color w:val="000000"/>
          <w:szCs w:val="28"/>
        </w:rPr>
        <w:t>－</w:t>
      </w:r>
      <w:r>
        <w:rPr>
          <w:rFonts w:hint="eastAsia" w:ascii="仿宋_GB2312" w:hAnsi="宋体"/>
          <w:color w:val="000000"/>
          <w:szCs w:val="28"/>
        </w:rPr>
        <w:t>常数，分别表示定性评估指标和定量评估指标的比重系数。</w:t>
      </w:r>
    </w:p>
    <w:p>
      <w:pPr>
        <w:pStyle w:val="9"/>
        <w:pageBreakBefore w:val="0"/>
        <w:widowControl w:val="0"/>
        <w:numPr>
          <w:ilvl w:val="0"/>
          <w:numId w:val="4"/>
        </w:numPr>
        <w:kinsoku/>
        <w:wordWrap/>
        <w:overflowPunct/>
        <w:topLinePunct w:val="0"/>
        <w:autoSpaceDE/>
        <w:autoSpaceDN/>
        <w:bidi w:val="0"/>
        <w:adjustRightInd/>
        <w:snapToGrid/>
        <w:spacing w:line="460" w:lineRule="exact"/>
        <w:ind w:firstLineChars="0"/>
        <w:textAlignment w:val="auto"/>
        <w:rPr>
          <w:b/>
          <w:color w:val="000000"/>
        </w:rPr>
      </w:pPr>
      <w:r>
        <w:rPr>
          <w:rFonts w:hint="eastAsia"/>
          <w:b/>
          <w:color w:val="000000"/>
        </w:rPr>
        <w:t>统计最终评估成绩</w:t>
      </w:r>
    </w:p>
    <w:p>
      <w:pPr>
        <w:pageBreakBefore w:val="0"/>
        <w:widowControl w:val="0"/>
        <w:kinsoku/>
        <w:wordWrap/>
        <w:overflowPunct/>
        <w:topLinePunct w:val="0"/>
        <w:autoSpaceDE/>
        <w:autoSpaceDN/>
        <w:bidi w:val="0"/>
        <w:adjustRightInd/>
        <w:snapToGrid/>
        <w:spacing w:line="460" w:lineRule="exact"/>
        <w:textAlignment w:val="auto"/>
        <w:rPr>
          <w:color w:val="000000"/>
        </w:rPr>
      </w:pPr>
      <w:r>
        <w:rPr>
          <w:rFonts w:hint="eastAsia"/>
          <w:color w:val="000000"/>
        </w:rPr>
        <w:t>评估成绩=各二级指标最终得分之和＋“特色加分项”得分－“警示减分项”得分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color w:val="000000"/>
          <w:kern w:val="0"/>
          <w:sz w:val="44"/>
          <w:szCs w:val="44"/>
        </w:rPr>
      </w:pPr>
      <w:r>
        <w:rPr>
          <w:rFonts w:hint="eastAsia"/>
          <w:color w:val="000000"/>
        </w:rPr>
        <w:br w:type="page"/>
      </w:r>
      <w:r>
        <w:rPr>
          <w:rFonts w:hint="eastAsia" w:ascii="方正小标宋简体" w:hAnsi="方正小标宋简体" w:eastAsia="方正小标宋简体" w:cs="方正小标宋简体"/>
          <w:color w:val="000000"/>
          <w:kern w:val="0"/>
          <w:sz w:val="44"/>
          <w:szCs w:val="44"/>
        </w:rPr>
        <w:t>参考文献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[1]《中华人民共和国文物保护法》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[2]《中华人民共和国教育法》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[3]《中华人民共和国科学技术普及法》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[4]《中华人民共和国公共文化服务保障法》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[5]《中华人民共和国国民经济和社会发展第十四个五年规划和2035年远景目标纲要》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[6]《博物馆条例》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[7]《新时代爱国主义教育实施纲要》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[8]《关于进一步加强文物工作的指导意见》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[9]《关于加强文物保护利用改革的若干意见》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[10]《“十四五”文物保护和科技创新规划》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[11]《关于推进博物馆改革发展的指导意见》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[12]《关于推动公共文化服务高质量发展的意见》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[13]《博物馆管理办法》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[14]《博物馆藏品管理办法》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[15]《关于推动文化文物单位文化创意产品开发的若干意见》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[16]《关于进一步做好公共博物馆、纪念馆免费开放工作的意见》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[17]《关于进一步加强文博事业单位人事管理工作的指导意见》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[18]《关于深化文物博物专业人员职称制度改革的指导意见》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[19]《关于促进民办博物馆发展的意见》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[20]《关于进一步推动非国有博物馆发展的意见》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[21]《中国文物、博物馆工作者职业道德准则》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[22]《博物馆馆长专业资格条件（试行）》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[23]《国际博物馆协会章程》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[24]《国际博物馆协会博物馆职业道德准则》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pPr>
      <w:r>
        <w:rPr>
          <w:rFonts w:hint="eastAsia" w:ascii="仿宋_GB2312" w:hAnsi="仿宋_GB2312" w:eastAsia="仿宋_GB2312" w:cs="仿宋_GB2312"/>
          <w:color w:val="000000"/>
          <w:sz w:val="32"/>
          <w:szCs w:val="32"/>
        </w:rPr>
        <w:t>[25]《联合国教科文组织关于保护与促进博物馆和收藏及其多样性、社会角色的建议书</w:t>
      </w:r>
      <w:r>
        <w:rPr>
          <w:rFonts w:hint="eastAsia" w:ascii="仿宋_GB2312" w:hAnsi="仿宋_GB2312" w:cs="仿宋_GB2312"/>
          <w:color w:val="000000"/>
          <w:sz w:val="32"/>
          <w:szCs w:val="32"/>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7945" cy="162560"/>
              <wp:effectExtent l="0" t="0" r="0" b="0"/>
              <wp:wrapNone/>
              <wp:docPr id="1" name="文本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TextEdit="1"/>
                    </wps:cNvSpPr>
                    <wps:spPr>
                      <a:xfrm>
                        <a:off x="0" y="0"/>
                        <a:ext cx="67945" cy="162560"/>
                      </a:xfrm>
                      <a:prstGeom prst="rect">
                        <a:avLst/>
                      </a:prstGeom>
                      <a:noFill/>
                      <a:ln w="6350">
                        <a:noFill/>
                      </a:ln>
                    </wps:spPr>
                    <wps:txbx>
                      <w:txbxContent>
                        <w:p>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8pt;width:5.35pt;mso-position-horizontal:outside;mso-position-horizontal-relative:margin;mso-wrap-style:none;z-index:251659264;mso-width-relative:page;mso-height-relative:page;" filled="f" stroked="f" coordsize="21600,21600" o:gfxdata="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Tn/ONEAAAADAQAADwAAAAAAAAABACAAAAAiAAAAZHJzL2Rvd25yZXYueG1sUEsBAhQAFAAAAAgA&#10;h07iQM5QvwnzAQAA2gMAAA4AAAAAAAAAAQAgAAAAIAEAAGRycy9lMm9Eb2MueG1sUEsFBgAAAAAG&#10;AAYAWQEAAIUFAAAAAA==&#10;">
              <v:path/>
              <v:fill on="f" focussize="0,0"/>
              <v:stroke on="f" weight="0.5pt"/>
              <v:imagedata o:title=""/>
              <o:lock v:ext="edit" text="t" aspectratio="t"/>
              <v:textbox inset="0mm,0mm,0mm,0mm" style="mso-fit-shape-to-text:t;">
                <w:txbxContent>
                  <w:p>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2FF6DB"/>
    <w:multiLevelType w:val="multilevel"/>
    <w:tmpl w:val="8D2FF6DB"/>
    <w:lvl w:ilvl="0" w:tentative="0">
      <w:start w:val="1"/>
      <w:numFmt w:val="chineseCountingThousand"/>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3A977FE0"/>
    <w:multiLevelType w:val="multilevel"/>
    <w:tmpl w:val="3A977FE0"/>
    <w:lvl w:ilvl="0" w:tentative="0">
      <w:start w:val="1"/>
      <w:numFmt w:val="chineseCountingThousand"/>
      <w:lvlText w:val="(%1)"/>
      <w:lvlJc w:val="left"/>
      <w:pPr>
        <w:ind w:left="840" w:hanging="420"/>
      </w:pPr>
    </w:lvl>
    <w:lvl w:ilvl="1" w:tentative="0">
      <w:start w:val="1"/>
      <w:numFmt w:val="lowerLetter"/>
      <w:lvlText w:val="%2)"/>
      <w:lvlJc w:val="left"/>
      <w:pPr>
        <w:ind w:left="1260" w:hanging="420"/>
      </w:pPr>
    </w:lvl>
    <w:lvl w:ilvl="2" w:tentative="0">
      <w:start w:val="1"/>
      <w:numFmt w:val="lowerRoman"/>
      <w:pStyle w:val="3"/>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3D2A3EAF"/>
    <w:multiLevelType w:val="multilevel"/>
    <w:tmpl w:val="3D2A3EAF"/>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872885"/>
    <w:multiLevelType w:val="multilevel"/>
    <w:tmpl w:val="3D872885"/>
    <w:lvl w:ilvl="0" w:tentative="0">
      <w:start w:val="1"/>
      <w:numFmt w:val="chineseCountingThousand"/>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3NmJhZjQ3NzE0MTQ3OGEyZDExOWVlMDc5ZDBlN2YifQ=="/>
  </w:docVars>
  <w:rsids>
    <w:rsidRoot w:val="57C667A2"/>
    <w:rsid w:val="57C66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32"/>
      <w:lang w:val="en-US" w:eastAsia="zh-CN" w:bidi="ar-SA"/>
    </w:rPr>
  </w:style>
  <w:style w:type="paragraph" w:styleId="3">
    <w:name w:val="heading 3"/>
    <w:basedOn w:val="1"/>
    <w:next w:val="1"/>
    <w:qFormat/>
    <w:uiPriority w:val="9"/>
    <w:pPr>
      <w:keepNext/>
      <w:keepLines/>
      <w:numPr>
        <w:ilvl w:val="2"/>
        <w:numId w:val="1"/>
      </w:numPr>
      <w:spacing w:before="260" w:after="260" w:line="416" w:lineRule="auto"/>
      <w:outlineLvl w:val="2"/>
    </w:pPr>
    <w:rPr>
      <w:rFonts w:ascii="Times New Roman" w:hAnsi="Times New Roman" w:eastAsia="仿宋_GB2312" w:cs="Times New Roman"/>
      <w:b/>
      <w:bCs/>
      <w:sz w:val="28"/>
      <w:szCs w:val="32"/>
    </w:rPr>
  </w:style>
  <w:style w:type="character" w:default="1" w:styleId="8">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Body Text Indent 21"/>
    <w:qFormat/>
    <w:uiPriority w:val="0"/>
    <w:pPr>
      <w:widowControl w:val="0"/>
      <w:spacing w:line="480" w:lineRule="auto"/>
      <w:ind w:left="420" w:leftChars="200"/>
      <w:jc w:val="both"/>
    </w:pPr>
    <w:rPr>
      <w:rFonts w:ascii="Times New Roman" w:hAnsi="Times New Roman" w:eastAsia="宋体" w:cs="Times New Roman"/>
      <w:kern w:val="2"/>
      <w:sz w:val="21"/>
      <w:lang w:val="en-US" w:eastAsia="zh-CN" w:bidi="ar-SA"/>
    </w:rPr>
  </w:style>
  <w:style w:type="paragraph" w:styleId="4">
    <w:name w:val="caption"/>
    <w:basedOn w:val="1"/>
    <w:next w:val="1"/>
    <w:unhideWhenUsed/>
    <w:qFormat/>
    <w:uiPriority w:val="35"/>
    <w:pPr>
      <w:spacing w:line="360" w:lineRule="auto"/>
      <w:jc w:val="center"/>
    </w:pPr>
    <w:rPr>
      <w:rFonts w:ascii="黑体" w:hAnsi="黑体" w:eastAsia="黑体" w:cs="Times New Roman"/>
      <w:szCs w:val="21"/>
    </w:rPr>
  </w:style>
  <w:style w:type="paragraph" w:styleId="5">
    <w:name w:val="footer"/>
    <w:basedOn w:val="1"/>
    <w:uiPriority w:val="0"/>
    <w:pPr>
      <w:tabs>
        <w:tab w:val="center" w:pos="4153"/>
        <w:tab w:val="right" w:pos="8306"/>
      </w:tabs>
      <w:snapToGrid w:val="0"/>
      <w:jc w:val="left"/>
    </w:pPr>
    <w:rPr>
      <w:sz w:val="18"/>
    </w:rPr>
  </w:style>
  <w:style w:type="table" w:styleId="7">
    <w:name w:val="Table Grid"/>
    <w:basedOn w:val="6"/>
    <w:uiPriority w:val="0"/>
    <w:pPr>
      <w:widowControl w:val="0"/>
      <w:jc w:val="both"/>
    </w:pPr>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rPr>
      <w:rFonts w:eastAsia="宋体"/>
      <w:sz w:val="21"/>
      <w:szCs w:val="22"/>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7" Type="http://schemas.openxmlformats.org/officeDocument/2006/relationships/fontTable" Target="fontTable.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18.wmf"/><Relationship Id="rId43" Type="http://schemas.openxmlformats.org/officeDocument/2006/relationships/oleObject" Target="embeddings/oleObject22.bin"/><Relationship Id="rId42" Type="http://schemas.openxmlformats.org/officeDocument/2006/relationships/image" Target="media/image17.wmf"/><Relationship Id="rId41" Type="http://schemas.openxmlformats.org/officeDocument/2006/relationships/oleObject" Target="embeddings/oleObject21.bin"/><Relationship Id="rId40" Type="http://schemas.openxmlformats.org/officeDocument/2006/relationships/image" Target="media/image16.wmf"/><Relationship Id="rId4" Type="http://schemas.openxmlformats.org/officeDocument/2006/relationships/theme" Target="theme/theme1.xml"/><Relationship Id="rId39" Type="http://schemas.openxmlformats.org/officeDocument/2006/relationships/oleObject" Target="embeddings/oleObject20.bin"/><Relationship Id="rId38" Type="http://schemas.openxmlformats.org/officeDocument/2006/relationships/image" Target="media/image15.wmf"/><Relationship Id="rId37" Type="http://schemas.openxmlformats.org/officeDocument/2006/relationships/oleObject" Target="embeddings/oleObject19.bin"/><Relationship Id="rId36" Type="http://schemas.openxmlformats.org/officeDocument/2006/relationships/image" Target="media/image14.wmf"/><Relationship Id="rId35" Type="http://schemas.openxmlformats.org/officeDocument/2006/relationships/oleObject" Target="embeddings/oleObject18.bin"/><Relationship Id="rId34" Type="http://schemas.openxmlformats.org/officeDocument/2006/relationships/image" Target="media/image13.wmf"/><Relationship Id="rId33" Type="http://schemas.openxmlformats.org/officeDocument/2006/relationships/oleObject" Target="embeddings/oleObject17.bin"/><Relationship Id="rId32" Type="http://schemas.openxmlformats.org/officeDocument/2006/relationships/oleObject" Target="embeddings/oleObject16.bin"/><Relationship Id="rId31" Type="http://schemas.openxmlformats.org/officeDocument/2006/relationships/image" Target="media/image12.wmf"/><Relationship Id="rId30" Type="http://schemas.openxmlformats.org/officeDocument/2006/relationships/oleObject" Target="embeddings/oleObject15.bin"/><Relationship Id="rId3" Type="http://schemas.openxmlformats.org/officeDocument/2006/relationships/footer" Target="footer1.xml"/><Relationship Id="rId29" Type="http://schemas.openxmlformats.org/officeDocument/2006/relationships/image" Target="media/image11.wmf"/><Relationship Id="rId28" Type="http://schemas.openxmlformats.org/officeDocument/2006/relationships/oleObject" Target="embeddings/oleObject14.bin"/><Relationship Id="rId27" Type="http://schemas.openxmlformats.org/officeDocument/2006/relationships/image" Target="media/image10.wmf"/><Relationship Id="rId26" Type="http://schemas.openxmlformats.org/officeDocument/2006/relationships/oleObject" Target="embeddings/oleObject13.bin"/><Relationship Id="rId25" Type="http://schemas.openxmlformats.org/officeDocument/2006/relationships/image" Target="media/image9.wmf"/><Relationship Id="rId24" Type="http://schemas.openxmlformats.org/officeDocument/2006/relationships/oleObject" Target="embeddings/oleObject12.bin"/><Relationship Id="rId23" Type="http://schemas.openxmlformats.org/officeDocument/2006/relationships/oleObject" Target="embeddings/oleObject11.bin"/><Relationship Id="rId22" Type="http://schemas.openxmlformats.org/officeDocument/2006/relationships/image" Target="media/image8.wmf"/><Relationship Id="rId21" Type="http://schemas.openxmlformats.org/officeDocument/2006/relationships/oleObject" Target="embeddings/oleObject10.bin"/><Relationship Id="rId20" Type="http://schemas.openxmlformats.org/officeDocument/2006/relationships/image" Target="media/image7.wmf"/><Relationship Id="rId2" Type="http://schemas.openxmlformats.org/officeDocument/2006/relationships/settings" Target="settings.xml"/><Relationship Id="rId19" Type="http://schemas.openxmlformats.org/officeDocument/2006/relationships/oleObject" Target="embeddings/oleObject9.bin"/><Relationship Id="rId18" Type="http://schemas.openxmlformats.org/officeDocument/2006/relationships/image" Target="media/image6.wmf"/><Relationship Id="rId17" Type="http://schemas.openxmlformats.org/officeDocument/2006/relationships/oleObject" Target="embeddings/oleObject8.bin"/><Relationship Id="rId16" Type="http://schemas.openxmlformats.org/officeDocument/2006/relationships/oleObject" Target="embeddings/oleObject7.bin"/><Relationship Id="rId15" Type="http://schemas.openxmlformats.org/officeDocument/2006/relationships/oleObject" Target="embeddings/oleObject6.bin"/><Relationship Id="rId14" Type="http://schemas.openxmlformats.org/officeDocument/2006/relationships/image" Target="media/image5.wmf"/><Relationship Id="rId13" Type="http://schemas.openxmlformats.org/officeDocument/2006/relationships/oleObject" Target="embeddings/oleObject5.bin"/><Relationship Id="rId12" Type="http://schemas.openxmlformats.org/officeDocument/2006/relationships/image" Target="media/image4.wmf"/><Relationship Id="rId11" Type="http://schemas.openxmlformats.org/officeDocument/2006/relationships/oleObject" Target="embeddings/oleObject4.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2022-11-22T03:37:00Z</dcterms:created>
  <dc:creator>刘易寒</dc:creator>
  <cp:lastModifiedBy>刘易寒</cp:lastModifiedBy>
  <dcterms:modified xsi:type="dcterms:W3CDTF">2022-11-22T03:38:13Z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6676695A89054BFB904872F2B81FDD7C</vt:lpwstr>
  </property>
</Properties>
</file>