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exact"/>
        <w:rPr>
          <w:rFonts w:hint="eastAsia" w:ascii="黑体" w:hAnsi="黑体" w:eastAsia="黑体"/>
        </w:rPr>
      </w:pPr>
      <w:r>
        <w:rPr>
          <w:rFonts w:hint="eastAsia" w:ascii="黑体" w:hAnsi="黑体" w:eastAsia="黑体"/>
        </w:rPr>
        <w:t>附件</w:t>
      </w:r>
    </w:p>
    <w:p>
      <w:pPr>
        <w:spacing w:line="360" w:lineRule="exact"/>
        <w:jc w:val="center"/>
        <w:rPr>
          <w:rFonts w:hint="eastAsia" w:ascii="楷体_GB2312" w:eastAsia="楷体_GB2312"/>
          <w:sz w:val="28"/>
          <w:szCs w:val="28"/>
        </w:rPr>
      </w:pPr>
      <w:bookmarkStart w:id="0" w:name="_GoBack"/>
      <w:r>
        <w:rPr>
          <w:rFonts w:hint="eastAsia" w:ascii="方正小标宋简体" w:eastAsia="方正小标宋简体"/>
        </w:rPr>
        <w:t>文物系统安全生产大检查工作情况汇总表</w:t>
      </w:r>
    </w:p>
    <w:bookmarkEnd w:id="0"/>
    <w:p>
      <w:pPr>
        <w:spacing w:line="400" w:lineRule="exact"/>
        <w:ind w:firstLine="480" w:firstLineChars="200"/>
        <w:rPr>
          <w:rFonts w:ascii="楷体_GB2312" w:eastAsia="楷体_GB2312"/>
          <w:sz w:val="24"/>
          <w:szCs w:val="24"/>
          <w:u w:val="single"/>
        </w:rPr>
      </w:pPr>
      <w:r>
        <w:rPr>
          <w:rFonts w:hint="eastAsia" w:ascii="楷体_GB2312" w:eastAsia="楷体_GB2312"/>
          <w:sz w:val="24"/>
          <w:szCs w:val="24"/>
        </w:rPr>
        <w:t>填表单位（</w:t>
      </w:r>
      <w:r>
        <w:rPr>
          <w:rFonts w:ascii="楷体_GB2312" w:eastAsia="楷体_GB2312"/>
          <w:sz w:val="24"/>
          <w:szCs w:val="24"/>
        </w:rPr>
        <w:t>盖章）</w:t>
      </w:r>
      <w:r>
        <w:rPr>
          <w:rFonts w:hint="eastAsia" w:ascii="楷体_GB2312" w:eastAsia="楷体_GB2312"/>
          <w:sz w:val="24"/>
          <w:szCs w:val="24"/>
        </w:rPr>
        <w:t>：</w:t>
      </w:r>
      <w:r>
        <w:rPr>
          <w:rFonts w:hint="eastAsia" w:ascii="楷体_GB2312" w:eastAsia="楷体_GB2312"/>
          <w:sz w:val="24"/>
          <w:szCs w:val="24"/>
          <w:u w:val="single"/>
        </w:rPr>
        <w:t xml:space="preserve"> </w:t>
      </w:r>
      <w:r>
        <w:rPr>
          <w:rFonts w:ascii="楷体_GB2312" w:eastAsia="楷体_GB2312"/>
          <w:sz w:val="24"/>
          <w:szCs w:val="24"/>
          <w:u w:val="single"/>
        </w:rPr>
        <w:t xml:space="preserve">                       </w:t>
      </w:r>
      <w:r>
        <w:rPr>
          <w:rFonts w:ascii="楷体_GB2312" w:eastAsia="楷体_GB2312"/>
          <w:sz w:val="24"/>
          <w:szCs w:val="24"/>
        </w:rPr>
        <w:t xml:space="preserve">  </w:t>
      </w:r>
      <w:r>
        <w:rPr>
          <w:rFonts w:hint="eastAsia" w:ascii="楷体_GB2312" w:eastAsia="楷体_GB2312"/>
          <w:sz w:val="24"/>
          <w:szCs w:val="24"/>
        </w:rPr>
        <w:t xml:space="preserve">   </w:t>
      </w:r>
      <w:r>
        <w:rPr>
          <w:rFonts w:ascii="楷体_GB2312" w:eastAsia="楷体_GB2312"/>
          <w:sz w:val="24"/>
          <w:szCs w:val="24"/>
        </w:rPr>
        <w:t xml:space="preserve"> </w:t>
      </w:r>
      <w:r>
        <w:rPr>
          <w:rFonts w:hint="eastAsia" w:ascii="楷体_GB2312" w:eastAsia="楷体_GB2312"/>
          <w:sz w:val="24"/>
          <w:szCs w:val="24"/>
        </w:rPr>
        <w:t xml:space="preserve">    填表人：</w:t>
      </w:r>
      <w:r>
        <w:rPr>
          <w:rFonts w:hint="eastAsia" w:ascii="楷体_GB2312" w:eastAsia="楷体_GB2312"/>
          <w:sz w:val="24"/>
          <w:szCs w:val="24"/>
          <w:u w:val="single"/>
        </w:rPr>
        <w:t xml:space="preserve"> </w:t>
      </w:r>
      <w:r>
        <w:rPr>
          <w:rFonts w:ascii="楷体_GB2312" w:eastAsia="楷体_GB2312"/>
          <w:sz w:val="24"/>
          <w:szCs w:val="24"/>
          <w:u w:val="single"/>
        </w:rPr>
        <w:t xml:space="preserve">          </w:t>
      </w:r>
      <w:r>
        <w:rPr>
          <w:rFonts w:hint="eastAsia" w:ascii="楷体_GB2312" w:eastAsia="楷体_GB2312"/>
          <w:sz w:val="24"/>
          <w:szCs w:val="24"/>
        </w:rPr>
        <w:t xml:space="preserve"> </w:t>
      </w:r>
      <w:r>
        <w:rPr>
          <w:rFonts w:ascii="楷体_GB2312" w:eastAsia="楷体_GB2312"/>
          <w:sz w:val="24"/>
          <w:szCs w:val="24"/>
        </w:rPr>
        <w:t xml:space="preserve">   </w:t>
      </w:r>
      <w:r>
        <w:rPr>
          <w:rFonts w:hint="eastAsia" w:ascii="楷体_GB2312" w:eastAsia="楷体_GB2312"/>
          <w:sz w:val="24"/>
          <w:szCs w:val="24"/>
        </w:rPr>
        <w:t xml:space="preserve">        联系方式：</w:t>
      </w:r>
      <w:r>
        <w:rPr>
          <w:rFonts w:hint="eastAsia" w:ascii="楷体_GB2312" w:eastAsia="楷体_GB2312"/>
          <w:sz w:val="24"/>
          <w:szCs w:val="24"/>
          <w:u w:val="single"/>
        </w:rPr>
        <w:t xml:space="preserve"> </w:t>
      </w:r>
      <w:r>
        <w:rPr>
          <w:rFonts w:ascii="楷体_GB2312" w:eastAsia="楷体_GB2312"/>
          <w:sz w:val="24"/>
          <w:szCs w:val="24"/>
          <w:u w:val="single"/>
        </w:rPr>
        <w:t xml:space="preserve"> </w:t>
      </w:r>
      <w:r>
        <w:rPr>
          <w:rFonts w:hint="eastAsia" w:ascii="楷体_GB2312" w:eastAsia="楷体_GB2312"/>
          <w:sz w:val="24"/>
          <w:szCs w:val="24"/>
          <w:u w:val="single"/>
        </w:rPr>
        <w:t xml:space="preserve">   </w:t>
      </w:r>
      <w:r>
        <w:rPr>
          <w:rFonts w:ascii="楷体_GB2312" w:eastAsia="楷体_GB2312"/>
          <w:sz w:val="24"/>
          <w:szCs w:val="24"/>
          <w:u w:val="single"/>
        </w:rPr>
        <w:t xml:space="preserve">      </w:t>
      </w:r>
      <w:r>
        <w:rPr>
          <w:rFonts w:hint="eastAsia" w:ascii="楷体_GB2312" w:eastAsia="楷体_GB2312"/>
          <w:sz w:val="24"/>
          <w:szCs w:val="24"/>
          <w:u w:val="single"/>
        </w:rPr>
        <w:t xml:space="preserve">   </w:t>
      </w:r>
      <w:r>
        <w:rPr>
          <w:rFonts w:ascii="楷体_GB2312" w:eastAsia="楷体_GB2312"/>
          <w:sz w:val="24"/>
          <w:szCs w:val="24"/>
          <w:u w:val="single"/>
        </w:rPr>
        <w:t xml:space="preserve">   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7"/>
        <w:gridCol w:w="1195"/>
        <w:gridCol w:w="113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exact"/>
          <w:jc w:val="center"/>
        </w:trPr>
        <w:tc>
          <w:tcPr>
            <w:tcW w:w="1427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hint="eastAsia" w:ascii="仿宋_GB2312"/>
                <w:b/>
                <w:sz w:val="24"/>
              </w:rPr>
              <w:t>检查单位</w:t>
            </w:r>
          </w:p>
        </w:tc>
        <w:tc>
          <w:tcPr>
            <w:tcW w:w="12533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hint="eastAsia" w:ascii="仿宋_GB2312"/>
                <w:b/>
                <w:sz w:val="24"/>
              </w:rPr>
              <w:t>具体</w:t>
            </w:r>
            <w:r>
              <w:rPr>
                <w:rFonts w:ascii="仿宋_GB2312"/>
                <w:b/>
                <w:sz w:val="24"/>
              </w:rPr>
              <w:t>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exact"/>
          <w:jc w:val="center"/>
        </w:trPr>
        <w:tc>
          <w:tcPr>
            <w:tcW w:w="1427" w:type="dxa"/>
            <w:vMerge w:val="restart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hint="eastAsia" w:ascii="仿宋_GB2312"/>
                <w:b/>
                <w:sz w:val="24"/>
              </w:rPr>
              <w:t>省级</w:t>
            </w:r>
          </w:p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ascii="仿宋_GB2312"/>
                <w:b/>
                <w:sz w:val="24"/>
              </w:rPr>
              <w:t>文物</w:t>
            </w:r>
          </w:p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ascii="仿宋_GB2312"/>
                <w:b/>
                <w:sz w:val="24"/>
              </w:rPr>
              <w:t>部门</w:t>
            </w:r>
          </w:p>
        </w:tc>
        <w:tc>
          <w:tcPr>
            <w:tcW w:w="1195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b/>
                <w:sz w:val="24"/>
              </w:rPr>
              <w:t>检查情况</w:t>
            </w:r>
          </w:p>
        </w:tc>
        <w:tc>
          <w:tcPr>
            <w:tcW w:w="11338" w:type="dxa"/>
            <w:noWrap w:val="0"/>
            <w:vAlign w:val="center"/>
          </w:tcPr>
          <w:p>
            <w:pPr>
              <w:spacing w:line="300" w:lineRule="exact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组成检查工作组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仿宋_GB2312"/>
                <w:sz w:val="21"/>
                <w:szCs w:val="21"/>
              </w:rPr>
              <w:t>个，出动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仿宋_GB2312"/>
                <w:sz w:val="21"/>
                <w:szCs w:val="21"/>
              </w:rPr>
              <w:t>人次； 检查文物单位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处（其中：国保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处、省保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处）；</w:t>
            </w:r>
          </w:p>
          <w:p>
            <w:pPr>
              <w:spacing w:line="300" w:lineRule="exact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检查博物馆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座（其中二级以上博物馆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仿宋_GB2312"/>
                <w:sz w:val="21"/>
                <w:szCs w:val="21"/>
              </w:rPr>
              <w:t>座）。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exact"/>
          <w:jc w:val="center"/>
        </w:trPr>
        <w:tc>
          <w:tcPr>
            <w:tcW w:w="1427" w:type="dxa"/>
            <w:vMerge w:val="continue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</w:p>
        </w:tc>
        <w:tc>
          <w:tcPr>
            <w:tcW w:w="1195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b/>
                <w:sz w:val="24"/>
              </w:rPr>
              <w:t>整改情况</w:t>
            </w:r>
          </w:p>
        </w:tc>
        <w:tc>
          <w:tcPr>
            <w:tcW w:w="11338" w:type="dxa"/>
            <w:noWrap w:val="0"/>
            <w:vAlign w:val="center"/>
          </w:tcPr>
          <w:p>
            <w:pPr>
              <w:spacing w:line="300" w:lineRule="exact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共发现文物单位隐患和问题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/>
                <w:sz w:val="21"/>
                <w:szCs w:val="21"/>
              </w:rPr>
              <w:t>项（其中国保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项、省保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项），督促整改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/>
                <w:sz w:val="21"/>
                <w:szCs w:val="21"/>
              </w:rPr>
              <w:t>项（其中国保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项、省保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项）；共发现博物馆隐患和问题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/>
                <w:sz w:val="21"/>
                <w:szCs w:val="21"/>
              </w:rPr>
              <w:t>项，督促整改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/>
                <w:sz w:val="21"/>
                <w:szCs w:val="21"/>
              </w:rPr>
              <w:t>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exact"/>
          <w:jc w:val="center"/>
        </w:trPr>
        <w:tc>
          <w:tcPr>
            <w:tcW w:w="1427" w:type="dxa"/>
            <w:vMerge w:val="continue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</w:p>
        </w:tc>
        <w:tc>
          <w:tcPr>
            <w:tcW w:w="1195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ascii="仿宋_GB2312"/>
                <w:b/>
                <w:sz w:val="24"/>
              </w:rPr>
              <w:t>问题</w:t>
            </w:r>
            <w:r>
              <w:rPr>
                <w:rFonts w:hint="eastAsia" w:ascii="仿宋_GB2312"/>
                <w:b/>
                <w:sz w:val="24"/>
              </w:rPr>
              <w:t>归纳</w:t>
            </w:r>
          </w:p>
        </w:tc>
        <w:tc>
          <w:tcPr>
            <w:tcW w:w="11338" w:type="dxa"/>
            <w:noWrap w:val="0"/>
            <w:vAlign w:val="center"/>
          </w:tcPr>
          <w:p>
            <w:pPr>
              <w:spacing w:line="300" w:lineRule="exact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安全责任落实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项；安全风险评估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项；安全管理制度建设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项；安全巡查检查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项；安全设施设备建设及日常运行维护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项；应急预案演练和安全教育培训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项；电气安全隐患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项；用火安全隐患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项；燃香烧纸隐患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项；危险物品安全隐患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仿宋_GB2312"/>
                <w:sz w:val="21"/>
                <w:szCs w:val="21"/>
              </w:rPr>
              <w:t>项；文物保护工程和考古工地安全问题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exact"/>
          <w:jc w:val="center"/>
        </w:trPr>
        <w:tc>
          <w:tcPr>
            <w:tcW w:w="1427" w:type="dxa"/>
            <w:vMerge w:val="restart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hint="eastAsia" w:ascii="仿宋_GB2312"/>
                <w:b/>
                <w:sz w:val="24"/>
              </w:rPr>
              <w:t>市级</w:t>
            </w:r>
          </w:p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ascii="仿宋_GB2312"/>
                <w:b/>
                <w:sz w:val="24"/>
              </w:rPr>
              <w:t>文物</w:t>
            </w:r>
          </w:p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ascii="仿宋_GB2312"/>
                <w:b/>
                <w:sz w:val="24"/>
              </w:rPr>
              <w:t>部门</w:t>
            </w:r>
          </w:p>
        </w:tc>
        <w:tc>
          <w:tcPr>
            <w:tcW w:w="1195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b/>
                <w:sz w:val="24"/>
              </w:rPr>
              <w:t>检查情况</w:t>
            </w:r>
          </w:p>
        </w:tc>
        <w:tc>
          <w:tcPr>
            <w:tcW w:w="11338" w:type="dxa"/>
            <w:noWrap w:val="0"/>
            <w:vAlign w:val="center"/>
          </w:tcPr>
          <w:p>
            <w:pPr>
              <w:spacing w:line="300" w:lineRule="exact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组成检查工作组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 w:ascii="仿宋_GB2312"/>
                <w:sz w:val="21"/>
                <w:szCs w:val="21"/>
              </w:rPr>
              <w:t>个，出动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 w:ascii="仿宋_GB2312"/>
                <w:sz w:val="21"/>
                <w:szCs w:val="21"/>
              </w:rPr>
              <w:t>人次；检查文物单位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 w:ascii="仿宋_GB2312"/>
                <w:sz w:val="21"/>
                <w:szCs w:val="21"/>
              </w:rPr>
              <w:t>处（其中：国保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仿宋_GB2312"/>
                <w:sz w:val="21"/>
                <w:szCs w:val="21"/>
              </w:rPr>
              <w:t>处、省保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 w:ascii="仿宋_GB2312"/>
                <w:sz w:val="21"/>
                <w:szCs w:val="21"/>
              </w:rPr>
              <w:t>处、市保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 w:ascii="仿宋_GB2312"/>
                <w:sz w:val="21"/>
                <w:szCs w:val="21"/>
              </w:rPr>
              <w:t>处）；博物馆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 w:ascii="仿宋_GB2312"/>
                <w:sz w:val="21"/>
                <w:szCs w:val="21"/>
              </w:rPr>
              <w:t>座。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exact"/>
          <w:jc w:val="center"/>
        </w:trPr>
        <w:tc>
          <w:tcPr>
            <w:tcW w:w="1427" w:type="dxa"/>
            <w:vMerge w:val="continue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</w:p>
        </w:tc>
        <w:tc>
          <w:tcPr>
            <w:tcW w:w="1195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b/>
                <w:sz w:val="24"/>
              </w:rPr>
              <w:t>整改情况</w:t>
            </w:r>
          </w:p>
        </w:tc>
        <w:tc>
          <w:tcPr>
            <w:tcW w:w="11338" w:type="dxa"/>
            <w:noWrap w:val="0"/>
            <w:vAlign w:val="center"/>
          </w:tcPr>
          <w:p>
            <w:pPr>
              <w:spacing w:line="300" w:lineRule="exact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共发现文物单位隐患和问题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/>
                <w:sz w:val="21"/>
                <w:szCs w:val="21"/>
              </w:rPr>
              <w:t>项（其中：国保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仿宋_GB2312"/>
                <w:sz w:val="21"/>
                <w:szCs w:val="21"/>
              </w:rPr>
              <w:t>项、省保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项、市保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项），督促整改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/>
                <w:sz w:val="21"/>
                <w:szCs w:val="21"/>
              </w:rPr>
              <w:t>项（其中：国保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仿宋_GB2312"/>
                <w:sz w:val="21"/>
                <w:szCs w:val="21"/>
              </w:rPr>
              <w:t>项、省保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项、市保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项）；共发现博物馆隐患和问题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/>
                <w:sz w:val="21"/>
                <w:szCs w:val="21"/>
              </w:rPr>
              <w:t>项，督促整改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/>
                <w:sz w:val="21"/>
                <w:szCs w:val="21"/>
              </w:rPr>
              <w:t>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exact"/>
          <w:jc w:val="center"/>
        </w:trPr>
        <w:tc>
          <w:tcPr>
            <w:tcW w:w="1427" w:type="dxa"/>
            <w:vMerge w:val="continue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</w:p>
        </w:tc>
        <w:tc>
          <w:tcPr>
            <w:tcW w:w="1195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ascii="仿宋_GB2312"/>
                <w:b/>
                <w:sz w:val="24"/>
              </w:rPr>
              <w:t>问题</w:t>
            </w:r>
            <w:r>
              <w:rPr>
                <w:rFonts w:hint="eastAsia" w:ascii="仿宋_GB2312"/>
                <w:b/>
                <w:sz w:val="24"/>
              </w:rPr>
              <w:t>归纳</w:t>
            </w:r>
          </w:p>
        </w:tc>
        <w:tc>
          <w:tcPr>
            <w:tcW w:w="11338" w:type="dxa"/>
            <w:noWrap w:val="0"/>
            <w:vAlign w:val="center"/>
          </w:tcPr>
          <w:p>
            <w:pPr>
              <w:spacing w:line="300" w:lineRule="exact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安全责任落实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项；安全风险评估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项；安全管理制度建设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项；安全巡查检查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项；安全设施设备建设及日常运行维护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项；应急预案演练和安全教育培训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项；电气安全隐患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项；用火安全隐患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项；燃香烧纸隐患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项；危险物品安全隐患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仿宋_GB2312"/>
                <w:sz w:val="21"/>
                <w:szCs w:val="21"/>
              </w:rPr>
              <w:t>项；文物保护工程和考古工地安全问题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仿宋_GB2312"/>
                <w:sz w:val="21"/>
                <w:szCs w:val="21"/>
              </w:rPr>
              <w:t>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  <w:jc w:val="center"/>
        </w:trPr>
        <w:tc>
          <w:tcPr>
            <w:tcW w:w="1427" w:type="dxa"/>
            <w:vMerge w:val="restart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hint="eastAsia" w:ascii="仿宋_GB2312"/>
                <w:b/>
                <w:sz w:val="24"/>
              </w:rPr>
              <w:t>县级</w:t>
            </w:r>
          </w:p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hint="eastAsia" w:ascii="仿宋_GB2312"/>
                <w:b/>
                <w:sz w:val="24"/>
              </w:rPr>
              <w:t>文物</w:t>
            </w:r>
          </w:p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ascii="仿宋_GB2312"/>
                <w:b/>
                <w:sz w:val="24"/>
              </w:rPr>
              <w:t>部门</w:t>
            </w:r>
          </w:p>
        </w:tc>
        <w:tc>
          <w:tcPr>
            <w:tcW w:w="1195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hint="eastAsia" w:ascii="仿宋_GB2312"/>
                <w:b/>
                <w:sz w:val="24"/>
              </w:rPr>
              <w:t>检查情况</w:t>
            </w:r>
          </w:p>
        </w:tc>
        <w:tc>
          <w:tcPr>
            <w:tcW w:w="11338" w:type="dxa"/>
            <w:noWrap w:val="0"/>
            <w:vAlign w:val="center"/>
          </w:tcPr>
          <w:p>
            <w:pPr>
              <w:spacing w:line="300" w:lineRule="exact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组成检查工作组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 w:ascii="仿宋_GB2312"/>
                <w:sz w:val="21"/>
                <w:szCs w:val="21"/>
              </w:rPr>
              <w:t>个，出动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 w:ascii="仿宋_GB2312"/>
                <w:sz w:val="21"/>
                <w:szCs w:val="21"/>
              </w:rPr>
              <w:t>人次；检查文物单位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 w:ascii="仿宋_GB2312"/>
                <w:sz w:val="21"/>
                <w:szCs w:val="21"/>
              </w:rPr>
              <w:t>处（其中：国保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仿宋_GB2312"/>
                <w:sz w:val="21"/>
                <w:szCs w:val="21"/>
              </w:rPr>
              <w:t>处、省保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 w:ascii="仿宋_GB2312"/>
                <w:sz w:val="21"/>
                <w:szCs w:val="21"/>
              </w:rPr>
              <w:t>处、市县保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 w:ascii="仿宋_GB2312"/>
                <w:sz w:val="21"/>
                <w:szCs w:val="21"/>
              </w:rPr>
              <w:t>处），博物馆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</w:t>
            </w:r>
            <w:r>
              <w:rPr>
                <w:rFonts w:hint="eastAsia" w:ascii="仿宋_GB2312"/>
                <w:sz w:val="21"/>
                <w:szCs w:val="21"/>
              </w:rPr>
              <w:t>座。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exact"/>
          <w:jc w:val="center"/>
        </w:trPr>
        <w:tc>
          <w:tcPr>
            <w:tcW w:w="1427" w:type="dxa"/>
            <w:vMerge w:val="continue"/>
            <w:noWrap w:val="0"/>
            <w:vAlign w:val="center"/>
          </w:tcPr>
          <w:p>
            <w:pPr>
              <w:spacing w:line="440" w:lineRule="exact"/>
              <w:jc w:val="left"/>
              <w:rPr>
                <w:rFonts w:ascii="仿宋_GB2312"/>
                <w:b/>
                <w:sz w:val="24"/>
              </w:rPr>
            </w:pPr>
          </w:p>
        </w:tc>
        <w:tc>
          <w:tcPr>
            <w:tcW w:w="1195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hint="eastAsia" w:ascii="仿宋_GB2312"/>
                <w:b/>
                <w:sz w:val="24"/>
              </w:rPr>
              <w:t>整改情况</w:t>
            </w:r>
          </w:p>
        </w:tc>
        <w:tc>
          <w:tcPr>
            <w:tcW w:w="11338" w:type="dxa"/>
            <w:noWrap w:val="0"/>
            <w:vAlign w:val="center"/>
          </w:tcPr>
          <w:p>
            <w:pPr>
              <w:spacing w:line="300" w:lineRule="exact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共发现文物单位隐患和问题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/>
                <w:sz w:val="21"/>
                <w:szCs w:val="21"/>
              </w:rPr>
              <w:t>项（其中：国保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仿宋_GB2312"/>
                <w:sz w:val="21"/>
                <w:szCs w:val="21"/>
              </w:rPr>
              <w:t>项、省保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仿宋_GB2312"/>
                <w:sz w:val="21"/>
                <w:szCs w:val="21"/>
              </w:rPr>
              <w:t>项、市县保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项），督促整改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/>
                <w:sz w:val="21"/>
                <w:szCs w:val="21"/>
              </w:rPr>
              <w:t>项（其中：国保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</w:t>
            </w:r>
            <w:r>
              <w:rPr>
                <w:rFonts w:hint="eastAsia" w:ascii="仿宋_GB2312"/>
                <w:sz w:val="21"/>
                <w:szCs w:val="21"/>
              </w:rPr>
              <w:t>项、 省保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项、市县保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项）；共发现博物馆隐患和问题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/>
                <w:sz w:val="21"/>
                <w:szCs w:val="21"/>
              </w:rPr>
              <w:t>项，督促整改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 </w:t>
            </w:r>
            <w:r>
              <w:rPr>
                <w:rFonts w:hint="eastAsia" w:ascii="仿宋_GB2312"/>
                <w:sz w:val="21"/>
                <w:szCs w:val="21"/>
              </w:rPr>
              <w:t>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exact"/>
          <w:jc w:val="center"/>
        </w:trPr>
        <w:tc>
          <w:tcPr>
            <w:tcW w:w="1427" w:type="dxa"/>
            <w:vMerge w:val="continue"/>
            <w:noWrap w:val="0"/>
            <w:vAlign w:val="center"/>
          </w:tcPr>
          <w:p>
            <w:pPr>
              <w:spacing w:line="440" w:lineRule="exact"/>
              <w:jc w:val="left"/>
              <w:rPr>
                <w:rFonts w:ascii="仿宋_GB2312"/>
                <w:b/>
                <w:sz w:val="24"/>
              </w:rPr>
            </w:pPr>
          </w:p>
        </w:tc>
        <w:tc>
          <w:tcPr>
            <w:tcW w:w="1195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ascii="仿宋_GB2312"/>
                <w:b/>
                <w:sz w:val="24"/>
              </w:rPr>
              <w:t>问题</w:t>
            </w:r>
            <w:r>
              <w:rPr>
                <w:rFonts w:hint="eastAsia" w:ascii="仿宋_GB2312"/>
                <w:b/>
                <w:sz w:val="24"/>
              </w:rPr>
              <w:t>归纳</w:t>
            </w:r>
          </w:p>
        </w:tc>
        <w:tc>
          <w:tcPr>
            <w:tcW w:w="11338" w:type="dxa"/>
            <w:noWrap w:val="0"/>
            <w:vAlign w:val="center"/>
          </w:tcPr>
          <w:p>
            <w:pPr>
              <w:spacing w:line="300" w:lineRule="exact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安全责任落实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项；安全风险评估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项；安全管理制度建设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项；安全巡查检查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项；安全设施设备建设及日常运行维护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项；应急预案演练和安全教育培训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项；电气安全隐患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项；用火安全隐患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项；燃香烧纸隐患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项；危险物品安全隐患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仿宋_GB2312"/>
                <w:sz w:val="21"/>
                <w:szCs w:val="21"/>
              </w:rPr>
              <w:t>项；文物保护工程和考古工地安全问题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仿宋_GB2312"/>
                <w:sz w:val="21"/>
                <w:szCs w:val="21"/>
              </w:rPr>
              <w:t>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exact"/>
          <w:jc w:val="center"/>
        </w:trPr>
        <w:tc>
          <w:tcPr>
            <w:tcW w:w="2622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仿宋_GB2312"/>
                <w:b/>
                <w:sz w:val="24"/>
              </w:rPr>
            </w:pPr>
            <w:r>
              <w:rPr>
                <w:rFonts w:hint="eastAsia" w:ascii="仿宋_GB2312"/>
                <w:b/>
                <w:sz w:val="24"/>
              </w:rPr>
              <w:t>文物博物馆单位自查</w:t>
            </w:r>
            <w:r>
              <w:rPr>
                <w:rFonts w:ascii="仿宋_GB2312"/>
                <w:b/>
                <w:sz w:val="24"/>
              </w:rPr>
              <w:t>情况</w:t>
            </w:r>
          </w:p>
        </w:tc>
        <w:tc>
          <w:tcPr>
            <w:tcW w:w="11338" w:type="dxa"/>
            <w:noWrap w:val="0"/>
            <w:vAlign w:val="center"/>
          </w:tcPr>
          <w:p>
            <w:pPr>
              <w:spacing w:line="300" w:lineRule="exact"/>
              <w:rPr>
                <w:rFonts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本辖区</w:t>
            </w:r>
            <w:r>
              <w:rPr>
                <w:rFonts w:ascii="仿宋_GB2312"/>
                <w:sz w:val="21"/>
                <w:szCs w:val="21"/>
              </w:rPr>
              <w:t>内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  </w:t>
            </w:r>
            <w:r>
              <w:rPr>
                <w:rFonts w:hint="eastAsia" w:ascii="仿宋_GB2312"/>
                <w:sz w:val="21"/>
                <w:szCs w:val="21"/>
              </w:rPr>
              <w:t>家文物博物馆单位开展自查自改，共发现安全隐患和问题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项，整改</w:t>
            </w:r>
            <w:r>
              <w:rPr>
                <w:rFonts w:hint="eastAsia" w:ascii="仿宋_GB2312"/>
                <w:sz w:val="21"/>
                <w:szCs w:val="21"/>
                <w:u w:val="single"/>
              </w:rPr>
              <w:t xml:space="preserve">     </w:t>
            </w:r>
            <w:r>
              <w:rPr>
                <w:rFonts w:hint="eastAsia" w:ascii="仿宋_GB2312"/>
                <w:sz w:val="21"/>
                <w:szCs w:val="21"/>
              </w:rPr>
              <w:t>项。</w:t>
            </w:r>
          </w:p>
        </w:tc>
      </w:tr>
    </w:tbl>
    <w:p>
      <w:pPr>
        <w:pStyle w:val="2"/>
        <w:rPr>
          <w:rFonts w:hint="eastAsia" w:ascii="仿宋_GB2312" w:hAnsi="仿宋_GB2312" w:eastAsia="仿宋_GB2312" w:cs="仿宋_GB2312"/>
        </w:rPr>
        <w:sectPr>
          <w:pgSz w:w="16838" w:h="11906" w:orient="landscape"/>
          <w:pgMar w:top="1531" w:right="1701" w:bottom="1531" w:left="1417" w:header="851" w:footer="992" w:gutter="0"/>
          <w:pgNumType w:fmt="decimal"/>
          <w:cols w:space="720" w:num="1"/>
          <w:titlePg/>
          <w:docGrid w:type="lines" w:linePitch="444" w:charSpace="0"/>
        </w:sect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AxNTk1NDA0ZDQyZDhiMDc1Y2ViMDdlYTcxYjI3NzYifQ=="/>
  </w:docVars>
  <w:rsids>
    <w:rsidRoot w:val="766660A3"/>
    <w:rsid w:val="76666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0"/>
    <w:pPr>
      <w:spacing w:before="100" w:beforeAutospacing="1" w:after="100" w:afterAutospacing="1"/>
      <w:ind w:left="420" w:leftChars="200"/>
    </w:pPr>
    <w:rPr>
      <w:rFonts w:ascii="Calibri" w:hAnsi="Calibri" w:eastAsia="宋体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6">
    <w:name w:val="page number"/>
    <w:qFormat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2022-06-06T07:57:00Z</dcterms:created>
  <dc:creator>kaiway</dc:creator>
  <cp:lastModifiedBy>kaiway</cp:lastModifiedBy>
  <dcterms:modified xsi:type="dcterms:W3CDTF">2022-06-06T07:57:39Z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2052-11.1.0.11805</vt:lpwstr>
  </property>
  <property fmtid="{D5CDD505-2E9C-101B-9397-08002B2CF9AE}" pid="3" name="ICV">
    <vt:lpwstr>CF3F31A4E0E34B2293CF653778F696D7</vt:lpwstr>
  </property>
</Properties>
</file>