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outlineLvl w:val="9"/>
        <w:rPr>
          <w:rFonts w:ascii="仿宋_GB2312" w:hAnsi="仿宋_GB2312" w:eastAsia="仿宋_GB2312" w:cs="仿宋_GB2312"/>
          <w:color w:val="auto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年度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报告信息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  <w:t>填报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说明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基本信息项目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（必填）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机构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信息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备案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：博物馆注册登录系统时使用的名称。名称中包含中国、中华、国家等字样的，需上传机构编制部门批复文件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图片（JPG或PNG格式）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名录库名称：国家文物局印发的《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2020年度全国博物馆名录》中核定的名称。新注册博物馆可自行填写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名称中包含博物馆、文保中心、文管所等的，建议以博物馆机构名称为主。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法人证书名称：法人证书上的名称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同时，需上传法人证书图片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（JPG或PNG格式，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高校、国有企业举办的国有博物馆，法人类型为“其他”的，需同时提交举办者的法人证书和授权文件图片）。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曾用名：博物馆曾经正式使用过的名称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2021年度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因机构调整合并、分开报送信息的博物馆，应列举撤并前的博物馆名称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没有曾用名的填写“无”。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博物馆性质：选择“文物系统国有博物馆”“其他行业国有博物馆”或“非国有博物馆”。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法人类型：选择“事业单位法人”“民办非企业单位法人”或“其他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统一社会信用代码：全国组织机构统一社会信用代码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（高校、国有企业举办的国有博物馆，法人类型为“其他”的，填写举办者的统一社会信用代码）。没有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统一社会信用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代码的填写“无”。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法人登记机关：为博物馆制发法人证书的机关名称。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题材类型：选择“综合地志”“历史文化”“革命纪念”“自然科技”“考古遗址”“艺术”或“其他”。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举办者：国有博物馆填写上级主管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，非国有博物馆填写发起、举办该博物馆的自然人或法人，有多个举办者的分别填写。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隶属层级：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按照登记的编制或民政部门的层级确定，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选择“中央”“省（市、区）”“地（市、州、盟）”“县（区、旗）”“乡（镇）”或“其他”。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高校博物馆选择所在高等学校的行政隶属层级。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法定代表人：博物馆法定代表人姓名。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设立时间：机构编制部门批准博物馆成立的日期，按“年/月/日”格式填写。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开馆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日期：博物馆首次向社会开放的日期，按“年/月/日”格式填写。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开放时间：博物馆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每周开闭馆情况、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每日开闭馆时间及节假日闭馆情况。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质量等级：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按照全国博物馆定级评估结果，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选择“一级”“二级”“三级”或“未定级”。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免费开放：选择“是”“否”免费开放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是否纳入中央补助免费开放博物馆纪念馆名单：按照《关于印发免费开放博物馆纪念馆名单的通知》（文物博发〔2010〕9号）《关于印发第三批免费开放博物馆、纪念馆名单的通知》（文物博发〔2011〕19号）中的名录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选择“是”“否”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纳入中央补助第一、二、三批免费开放博物馆名单。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馆舍地址：以法人登记机关或文物行政部门正式登记的馆舍地址为准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有多处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馆址或为总分馆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应分别填写。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馆址经度、纬度：填写馆址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GPS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坐标点经纬度。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有多处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馆址或为总分馆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应分别填写。可通过百度地图拾取坐标系统（见年报系统超链接）查询，数值不超过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6位小数。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行政区划：从下拉框中选择博物馆馆舍地址相应的行政区划。有多处馆址或为总分馆的，以主要馆舍或总馆为准。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邮政编码：以邮政机构核定的编码为准。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馆舍产权性质：选择“自有”或“租赁。”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馆舍建筑性质：选择“依托全国重点文物保护单位建立或在国保单位范围内”“其他古建或近现代建筑”或“当代建筑”。如选第一类，需继续填写国保单位名称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与批次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国保单位名称：国务院公布的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全国重点文物保护单位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标准名称。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国保单位批次：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全国重点文物保护单位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公布批次。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馆舍建筑面积：年度末不动产登记机关核定的博物馆馆舍总建筑面积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有多处馆舍的，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合并计算。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展厅面积：年度末博物馆展厅实际面积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有多处馆舍的，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合并计算。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库房面积：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年度末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博物馆库房实际面积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有多处馆舍的，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合并计算。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实验修复室面积：年度末博物馆实验修复室（文物修复室、常规实验室、仪器室等）实际面积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有多处馆舍的，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合并计算。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教育空间面积：年度末博物馆教育空间（教室、报告厅、青少年活动室等）实际面积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有多处馆舍的，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合并计算。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公共服务空间面积：度末博物馆公共服务空间（观众休息区、文创商店、餐饮服务区等）实际面积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有多处馆舍的，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应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合并计算。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可移动文物修复资质：选择“是”“否”取得由省级文物行政部门批准的可移动文物修复资质。如选择“是”，需继续填写取得资质的年份，并上传资质证书图片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（JPG或PNG格式）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重大事项变更：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1-33项信息中，相较于2020年度已填报信息，如有发生变化或需要订正的，在本项中说明变化情况与原因，经省级文物行政部门核实后，由省级文物行政部门在系统中修改。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联系电话：博物馆对外公布的常用联系电话。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电子邮箱：博物馆的公开电子邮箱。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互联网址：博物馆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官方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网站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英文域名，有多个域名的，填写一个主要的域名。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新媒体账号：博物馆的微博、微信、抖音等各类新媒体账号名称。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预约参观信息：简述博物馆预约参观渠道与方式，如电话、微信公众号、第三方预约平台等，可附预约参观二维码或链接。未提供预约参观服务的，请填写“无”。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博物馆简介：简述博物馆历史沿革、发展历程，现有藏品资源特色及数量、质量、基本陈列内容、人力资源、安防设施等，不超过500字。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资源信息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藏品总数：年度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博物馆藏品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总登记帐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登录的数量。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2020年已填报信息的博物馆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需选择藏品总数“是”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发生变化，选择“否”，系统自动导入上一年度数据；选择“是”，系统自动生成藏品总数，该项数值为文物藏品总数与非文物藏品总数之和，需单独填写非文物藏品数量。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文物藏品总数：年度内博物馆按照《文物藏品定级标准》区分文物等级、依法建立文物藏品档案的馆藏文物总数。该项数值为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珍贵文物数与一般文物数之和，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由系统自动生成，需单独填写一般文物数量。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珍贵文物数：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博物馆藏品总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登记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帐登录的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、依法建立文物藏品档案的馆藏珍贵文物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。该项数值为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一级文物、二级文物、三级文物数量之和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，由系统自动生成，需分别填写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一级文物、二级文物、三级文物数量。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非文物藏品总数：年度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博物馆收藏的文物藏品以外的其他藏品数量。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科研项目数：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博物馆承担的各类科研项目总数，以立项年度为准。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出版物数：年度内博物馆编辑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的出版物（包括学术专著、图录、科普读物、期刊、刊物等）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数量，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val="en-US" w:eastAsia="zh-CN"/>
        </w:rPr>
        <w:t>以种为单位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发表论文数：年度内博物馆工作人员在各类期刊、刊物上发表的学术论文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服务信息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全年开放天数：年度内博物馆对外开放的实际天数。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陈列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展览总数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：年度内博物馆举办、开放的所有展览总数。该项数值为基本陈列、国内临时展览、入境展览、出境展览数量之和，由系统自动生成，需填写基本陈列、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馆内原创临时展览、馆际合作展览、入境展览、出境展览数量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基本陈列数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：年度内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博物馆内开放的常设基本陈列数量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。需选择基本陈列数“是”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发生变化，选择“否”，系统自动导入上一年度数据；选择“是”，可修改数量，并自动生成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较上一年度变化情况。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基本陈列总面积：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博物馆所有基本陈列的展厅面积总和。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需选择基本陈列面积“是”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发生变化，选择“否”，系统自动导入上一年度数据；选择“是”，可修改数量，并自动生成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较上一年度变化情况。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基本陈列展出藏品数：年度内博物馆所有基本陈列展出藏品总数，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需选择基本陈列展出藏品数“是”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发生变化，选择“否”，系统自动导入上一年度数据；选择“是”，可修改数量，并自动生成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较上一年度变化情况。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国内临时展览数：年度内博物馆举办的临时展览数量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。该项数值为馆内原创临时展览、馆际合作展览数量之和，由系统自动生成，需填写馆内原创临时展览、馆际合作展览数量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国内临时展览展出藏品数：年度内博物馆所举办临时展览展出藏品总数。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馆内原创临时展览数：年度内博物馆利用本馆资源，在本馆内自主举办的临时展览数量。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馆际合作展览数：年度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博物馆与其他国内博物馆或相关机构联合策划举办的临时展览数量（单纯出借文物参展不在此列）。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入境展览数：年度内博物馆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引进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境外博物馆或相关机构展览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出境展览数：年度内博物馆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经国家文物局批复同意，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向境外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（含港、澳、台地区）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博物馆或相关机构输出的展览数量。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线上展览数：年度内博物馆策划实施的在线图文展览、实景三维展览、虚拟展览等线上展览数量。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线下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教育活动数：年度内博物馆策划举办的课程、讲座、研学活动、进校园活动等各类教育活动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数量，不包括讲解场次数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线上教育活动数：年度内博物馆策划举办的线上课程、讲座、直播等教育活动数量。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年度观众总数：年度内博物馆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线下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接待观众总人数。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本地居民观众人数：年度内博物馆接待本地居民观众数量。未统计该项的，请填写0。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未成年观众人数：年度内博物馆接待18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岁以下未成年观众数量。未统计该项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，请填写0。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境外观众人数：年度内博物馆接待外国以及港、澳、台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地区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观众数量。未统计该项的，请填写0。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免费参观人数：年度内博物馆免费接待观众总人数。未统计该项的，请填写0。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教育活动参与人数：年度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博物馆各类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线下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教育活动的参与人数总和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未统计该项的，请填写0。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网站综合浏览量：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第37项所填写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博物馆官方网站的年度总浏览量。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新媒体访问量:第38项所填写的新媒体账号对应的年度访问量总和。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新媒体关注量：第38项所填写的新媒体账号对应的关注用户数量总和。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文化创意产品数：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博物馆依托馆藏资源，开发的文化创意产品种类数量，包括由博物馆委托、授权企业或与企业合作开发、销售的文化创意产品种类数量。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文化创意产品销售收入：年度内博物馆或委托、授权企业销售博物馆文创产品取得的收入总额，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以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万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</w:rPr>
        <w:t>元为单位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（四）管理信息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年度新增藏品数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：年度内博物馆新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且完成登记备案的藏品数量。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该项数值为年度征集购买、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接受捐赠、依法交换、拨交、移交、考古发掘、采集、拣选、其他来源藏品数量之和，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由系统自动生成。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年度征集购买藏品数：年度内博物馆以有偿形式取得的藏品数量。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年度接受捐赠藏品数：年度内博物馆以无偿或奖励形式取得的藏品数量。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年度依法交换藏品数：年度内国有文物收藏单位之间依据相关程序交换的藏品数量。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年度拨交藏品数：年度内通过行政手段变更使用权或保管权的藏品数量。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年度移交藏品数：年度内由公安、海关、纪检等部门移交罚没的藏品数量。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年度考古发掘藏品数：年度内通过正式考古发掘出土（水）的藏品数量。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年度采集藏品数：年度内博物馆通过捡拾上交等方式取得的藏品数量。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年度拣选藏品数：年度内博物馆从银行、冶炼厂、造纸厂、物资回收部门等处取得的藏品数量。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其他来源藏品数：年度内博物馆通过上述方式以外的其他方式取得的藏品数量。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修复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文物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博物馆修复或委托第三方机构修复的藏品数量，以修复工作启动的年度为准。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该项数值为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修复一级文物、二级文物、三级文物、一般文物数量之和，由系统自动生成，需分别填写修复一级文物、二级文物、三级文物、一般文物数量。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国际合作项目数：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博物馆参加国际文物保护修复、展览策划等合作项目数量，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以个为单位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国际人员交流：博物馆与国外文博机构等开展人员培训、交流的情况，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以人次为单位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国际学术活动：博物馆举办研讨会、学术论坛等国际学术活动数量，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lang w:eastAsia="zh-CN"/>
        </w:rPr>
        <w:t>以场为单位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从业人员总数：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博物馆建立劳动关系的各类工作人员总数。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需选择数量“是”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发生变化，选择“否”，系统自动导入上一年度数据；选择“是”，可修改数量，并自动生成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较上一年度变化情况。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在编职工人数：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国有博物馆按照机构编制部门核定的在编职工人数，非国有博物馆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填写从业人员总数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（数值应与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87项一致）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需选择数量“是”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“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”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发生变化，选择“否”，系统自动导入上一年度数据；选择“是”，可修改数量，并自动生成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较上一年度变化情况。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专业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技术人员总数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本馆聘用的各类具有专业技术资格（职称）的专业技术人员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总数。该项数值为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初级职称、中级职称、副高级职称、正高级职称数量之和 ，由系统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自动生成，需分别填写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初级职称、中级职称、副高级职称、正高级职称数量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安保人员数：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本馆聘用和外聘的安保人员数量。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志愿者人数：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博物馆登记注册的志愿者总数。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年度用电量：年度内博物馆用电量，以千瓦时为单位。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年度用水量：年度内博物馆用水量，以立方米为单位。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藏品安全事故数：年度内博物馆发生的涉及藏品安全事故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公共安全事故数：年度内博物馆发生的涉及观众人身、馆舍设施的公共安全事故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数量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信息公开联系人：填写信息公开工作责任部门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相关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联系人姓名。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信息公开联系电话：填写信息公开工作责任部门的办公电话、传真号码。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color w:val="auto"/>
          <w:sz w:val="32"/>
          <w:szCs w:val="32"/>
        </w:rPr>
        <w:t>二、拓展信息项目（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未定级博物馆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选填</w:t>
      </w:r>
      <w:r>
        <w:rPr>
          <w:rFonts w:hint="eastAsia" w:ascii="黑体" w:hAnsi="黑体" w:eastAsia="黑体" w:cs="黑体"/>
          <w:color w:val="auto"/>
          <w:sz w:val="32"/>
          <w:szCs w:val="32"/>
          <w:lang w:eastAsia="zh-CN"/>
        </w:rPr>
        <w:t>，国家一二三级博物馆必填</w:t>
      </w:r>
      <w:r>
        <w:rPr>
          <w:rFonts w:hint="eastAsia" w:ascii="黑体" w:hAnsi="黑体" w:eastAsia="黑体" w:cs="黑体"/>
          <w:color w:val="auto"/>
          <w:sz w:val="32"/>
          <w:szCs w:val="32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（一）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  <w:lang w:eastAsia="zh-CN"/>
        </w:rPr>
        <w:t>机构</w:t>
      </w: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.博物馆年度工作情况简述：简述报告年度内，博物馆基本运行情况，举办各类陈列展览的名称、内容，举办教育活动内容、社会服务项目情况，承担科研项目及取得成果，对外宣传工作情况，博物馆文化创意产品开发工作情况，取得社会和经济效益等，不超过1500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楷体_GB2312" w:hAnsi="楷体_GB2312" w:eastAsia="楷体_GB2312" w:cs="楷体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（二）资源信息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年度重要科研成果简介：简述报告年度内，博物馆各类重要科研成果及其内容、价值、创新性等情况，不超过500字。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（三）服务信息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重要展览简介：简述报告年度内，博物馆新举办展览的内容题材、主要展品、表现形式、社会反馈情况，不超过500字。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Hans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主要服务情况：简述报告年度内，博物馆提供的各类社会服务项目相关信息，包括收费服务项目价格信息等，不超过500字（可提交服务项目简介）。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5.</w:t>
      </w:r>
      <w:r>
        <w:rPr>
          <w:rFonts w:hint="eastAsia" w:ascii="仿宋_GB2312" w:hAnsi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文化创意产品情况：简述报告年度内，博物馆开发文创产品的数量、特色产品、销售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、利润等，不超过300字。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hAnsi="楷体_GB2312" w:eastAsia="楷体_GB2312" w:cs="楷体_GB2312"/>
          <w:color w:val="auto"/>
          <w:sz w:val="32"/>
          <w:szCs w:val="32"/>
        </w:rPr>
        <w:t>（四）管理信息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内部治理情况：简述报告年度内，博物馆理事会、监事会组成人员及运行情况，博物馆内部机构设置、内部管理制度建设情况等，不超过500字（可提交理事会、监事会成员名单）。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藏品征集工作情况：简述报告年度内，博物馆新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增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藏品的来源及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定级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建档、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登录、保管、利用情况，不超过500字（可提交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新增藏品清单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8.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财务状况：简述报告年度经费收支状况，不超过300字（可提交财务报表）。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9.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安全管理情况：简述报告年度内，博物馆藏品安全和公共安全相关制度建设、设施配置、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配备、目常演练等情况，发生藏品安全和公共安全事故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，应说明事故原因、造成损失和处理情况，不超过500字。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10.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国际合作情况：简述报告年度内，博物馆参加国际合作项目、人员交流、学术活动等情况，不超过300字。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11.年度网络传播情况：简述报告年度内，博物馆通过官方网站、新媒体平台等开展展示、教育、传播活动的情况与社会反响等，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不超过300字。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hint="default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12.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节能减排情况：简述报告年度内，博物馆实施的节能减排措施，如垃圾分类、新能源使用等，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不超过300字。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观众满意度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调查情况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简述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报告年度内，博物馆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开展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观众满意度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调查工作情况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，不超过300字（可提交观众调查报告）。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14.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媒体报道情况：简述报告年度内，博物馆被公众媒体报道的情况，包括媒体名称、类型、频次和主要内容，不超过300字（可提交媒体报道内容）。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15.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博物馆服务认证和资质信息：简述报告年度内，博物馆取得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包括爱国主义教育示范基地、青少年教育基地、考古发掘资质、可移动文物修复资质等服务认证和资质信息，需逐项说明资质授予单位和资质名称，不超过300字（可提交资质证书图片）。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outlineLvl w:val="9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16.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获得奖励情况：简述报告年度内，博物馆获得上级部门表彰奖励的有关情况，需逐项说明授奖单位和奖励名称，不超过300字。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right="0" w:rightChars="0" w:firstLine="640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17.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年度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接受处罚情况：简述报告年度内，博物馆接受行政部门处罚的有关情况，需逐项说明处罚决定机关和处罚内容，不超过300字。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A6BB63B"/>
    <w:multiLevelType w:val="singleLevel"/>
    <w:tmpl w:val="9A6BB63B"/>
    <w:lvl w:ilvl="0" w:tentative="0">
      <w:start w:val="1"/>
      <w:numFmt w:val="decimal"/>
      <w:lvlText w:val="%1."/>
      <w:lvlJc w:val="left"/>
      <w:pPr>
        <w:tabs>
          <w:tab w:val="left" w:pos="0"/>
        </w:tabs>
        <w:ind w:left="0" w:firstLine="0"/>
      </w:pPr>
      <w:rPr>
        <w:rFonts w:hint="default"/>
      </w:rPr>
    </w:lvl>
  </w:abstractNum>
  <w:abstractNum w:abstractNumId="1">
    <w:nsid w:val="D5C0BEFB"/>
    <w:multiLevelType w:val="multilevel"/>
    <w:tmpl w:val="D5C0BEFB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rPr>
        <w:rFonts w:hint="eastAsia"/>
      </w:rPr>
    </w:lvl>
    <w:lvl w:ilvl="2" w:tentative="0">
      <w:start w:val="1"/>
      <w:numFmt w:val="decimal"/>
      <w:suff w:val="nothing"/>
      <w:lvlText w:val="（%3）"/>
      <w:lvlJc w:val="left"/>
      <w:rPr>
        <w:rFonts w:hint="eastAsia"/>
      </w:rPr>
    </w:lvl>
    <w:lvl w:ilvl="3" w:tentative="0">
      <w:start w:val="1"/>
      <w:numFmt w:val="decimalEnclosedCircleChinese"/>
      <w:suff w:val="nothing"/>
      <w:lvlText w:val="%4"/>
      <w:lvlJc w:val="left"/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rPr>
        <w:rFonts w:hint="eastAsia"/>
      </w:rPr>
    </w:lvl>
    <w:lvl w:ilvl="7" w:tentative="0">
      <w:start w:val="1"/>
      <w:numFmt w:val="lowerRoman"/>
      <w:suff w:val="nothing"/>
      <w:lvlText w:val="%8．"/>
      <w:lvlJc w:val="left"/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rPr>
        <w:rFonts w:hint="eastAsia"/>
      </w:rPr>
    </w:lvl>
  </w:abstractNum>
  <w:abstractNum w:abstractNumId="2">
    <w:nsid w:val="748DE7E5"/>
    <w:multiLevelType w:val="singleLevel"/>
    <w:tmpl w:val="748DE7E5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1F2643"/>
    <w:rsid w:val="1C1F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2022-02-28T09:19:00Z</dcterms:created>
  <dc:creator>易寒家的赖赖包 ＆皮皮精</dc:creator>
  <cp:lastModifiedBy>易寒家的赖赖包 ＆皮皮精</cp:lastModifiedBy>
  <dcterms:modified xsi:type="dcterms:W3CDTF">2022-02-28T09:19:49Z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D06D19C1DDF540D8AAC28876634353CE</vt:lpwstr>
  </property>
</Properties>
</file>