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ascii="仿宋_GB2312" w:hAnsi="仿宋_GB2312" w:eastAsia="仿宋_GB2312" w:cs="仿宋_GB2312"/>
          <w:color w:val="auto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年度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报告信息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填报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说明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基本信息项目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（必填）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机构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信息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备案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：博物馆注册登录系统时使用的名称。名称中包含中国、中华、国家等字样的，需上传机构编制部门批复文件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图片（JPG或PNG格式）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名录库名称：国家文物局印发的《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2020年度全国博物馆名录》中核定的名称。新注册博物馆可自行填写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名称中包含博物馆、文保中心、文管所等的，建议以博物馆机构名称为主。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法人证书名称：法人证书上的名称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同时，需上传法人证书图片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（JPG或PNG格式，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高校、国有企业举办的国有博物馆，法人类型为“其他”的，需同时提交举办者的法人证书和授权文件图片）。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曾用名：博物馆曾经正式使用过的名称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2021年度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因机构调整合并、分开报送信息的博物馆，应列举撤并前的博物馆名称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没有曾用名的填写“无”。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博物馆性质：选择“文物系统国有博物馆”“其他行业国有博物馆”或“非国有博物馆”。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法人类型：选择“事业单位法人”“民办非企业单位法人”或“其他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统一社会信用代码：全国组织机构统一社会信用代码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（高校、国有企业举办的国有博物馆，法人类型为“其他”的，填写举办者的统一社会信用代码）。没有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统一社会信用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代码的填写“无”。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法人登记机关：为博物馆制发法人证书的机关名称。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题材类型：选择“综合地志”“历史文化”“革命纪念”“自然科技”“考古遗址”“艺术”或“其他”。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举办者：国有博物馆填写上级主管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，非国有博物馆填写发起、举办该博物馆的自然人或法人，有多个举办者的分别填写。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隶属层级：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按照登记的编制或民政部门的层级确定，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选择“中央”“省（市、区）”“地（市、州、盟）”“县（区、旗）”“乡（镇）”或“其他”。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高校博物馆选择所在高等学校的行政隶属层级。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法定代表人：博物馆法定代表人姓名。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设立时间：机构编制部门批准博物馆成立的日期，按“年/月/日”格式填写。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开馆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日期：博物馆首次向社会开放的日期，按“年/月/日”格式填写。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开放时间：博物馆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每周开闭馆情况、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每日开闭馆时间及节假日闭馆情况。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质量等级：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按照全国博物馆定级评估结果，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选择“一级”“二级”“三级”或“未定级”。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Hans"/>
        </w:rPr>
        <w:t>免费开放：选择“是”“否”免费开放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否纳入中央补助免费开放博物馆纪念馆名单：按照《关于印发免费开放博物馆纪念馆名单的通知》（文物博发〔2010〕9号）《关于印发第三批免费开放博物馆、纪念馆名单的通知》（文物博发〔2011〕19号）中的名录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Hans"/>
        </w:rPr>
        <w:t>选择“是”“否”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纳入中央补助第一、二、三批免费开放博物馆名单。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馆舍地址：以法人登记机关或文物行政部门正式登记的馆舍地址为准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有多处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馆址或为总分馆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应分别填写。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馆址经度、纬度：填写馆址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GPS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坐标点经纬度。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有多处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馆址或为总分馆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应分别填写。可通过百度地图拾取坐标系统（见年报系统超链接）查询，数值不超过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6位小数。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行政区划：从下拉框中选择博物馆馆舍地址相应的行政区划。有多处馆址或为总分馆的，以主要馆舍或总馆为准。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邮政编码：以邮政机构核定的编码为准。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馆舍产权性质：选择“自有”或“租赁。”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馆舍建筑性质：选择“依托全国重点文物保护单位建立或在国保单位范围内”“其他古建或近现代建筑”或“当代建筑”。如选第一类，需继续填写国保单位名称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与批次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国保单位名称：国务院公布的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全国重点文物保护单位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标准名称。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国保单位批次：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全国重点文物保护单位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公布批次。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馆舍建筑面积：年度末不动产登记机关核定的博物馆馆舍总建筑面积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有多处馆舍的，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合并计算。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展厅面积：年度末博物馆展厅实际面积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有多处馆舍的，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合并计算。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库房面积：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博物馆库房实际面积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有多处馆舍的，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合并计算。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实验修复室面积：年度末博物馆实验修复室（文物修复室、常规实验室、仪器室等）实际面积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有多处馆舍的，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合并计算。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教育空间面积：年度末博物馆教育空间（教室、报告厅、青少年活动室等）实际面积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有多处馆舍的，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合并计算。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公共服务空间面积：度末博物馆公共服务空间（观众休息区、文创商店、餐饮服务区等）实际面积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有多处馆舍的，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合并计算。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可移动文物修复资质：选择“是”“否”取得由省级文物行政部门批准的可移动文物修复资质。如选择“是”，需继续填写取得资质的年份，并上传资质证书图片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（JPG或PNG格式）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重大事项变更：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1-33项信息中，相较于2020年度已填报信息，如有发生变化或需要订正的，在本项中说明变化情况与原因，经省级文物行政部门核实后，由省级文物行政部门在系统中修改。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联系电话：博物馆对外公布的常用联系电话。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电子邮箱：博物馆的公开电子邮箱。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互联网址：博物馆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官方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网站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英文域名，有多个域名的，填写一个主要的域名。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新媒体账号：博物馆的微博、微信、抖音等各类新媒体账号名称。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预约参观信息：简述博物馆预约参观渠道与方式，如电话、微信公众号、第三方预约平台等，可附预约参观二维码或链接。未提供预约参观服务的，请填写“无”。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博物馆简介：简述博物馆历史沿革、发展历程，现有藏品资源特色及数量、质量、基本陈列内容、人力资源、安防设施等，不超过500字。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资源信息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藏品总数：年度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博物馆藏品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总登记帐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登录的数量。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2020年已填报信息的博物馆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需选择藏品总数“是”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发生变化，选择“否”，系统自动导入上一年度数据；选择“是”，系统自动生成藏品总数，该项数值为文物藏品总数与非文物藏品总数之和，需单独填写非文物藏品数量。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文物藏品总数：年度内博物馆按照《文物藏品定级标准》区分文物等级、依法建立文物藏品档案的馆藏文物总数。该项数值为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珍贵文物数与一般文物数之和，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由系统自动生成，需单独填写一般文物数量。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珍贵文物数：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博物馆藏品总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登记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帐登录的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、依法建立文物藏品档案的馆藏珍贵文物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。该项数值为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一级文物、二级文物、三级文物数量之和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，由系统自动生成，需分别填写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一级文物、二级文物、三级文物数量。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非文物藏品总数：年度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博物馆收藏的文物藏品以外的其他藏品数量。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科研项目数：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博物馆承担的各类科研项目总数，以立项年度为准。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出版物数：年度内博物馆编辑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发行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的出版物（包括学术专著、图录、科普读物、期刊、刊物等）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数量，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以种为单位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发表论文数：年度内博物馆工作人员在各类期刊、刊物上发表的学术论文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服务信息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全年开放天数：年度内博物馆对外开放的实际天数。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陈列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展览总数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：年度内博物馆举办、开放的所有展览总数。该项数值为基本陈列、国内临时展览、入境展览、出境展览数量之和，由系统自动生成，需填写基本陈列、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馆内原创临时展览、馆际合作展览、入境展览、出境展览数量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基本陈列数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：年度内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博物馆内开放的常设基本陈列数量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。需选择基本陈列数“是”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发生变化，选择“否”，系统自动导入上一年度数据；选择“是”，可修改数量，并自动生成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较上一年度变化情况。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基本陈列总面积：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博物馆所有基本陈列的展厅面积总和。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需选择基本陈列面积“是”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发生变化，选择“否”，系统自动导入上一年度数据；选择“是”，可修改数量，并自动生成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较上一年度变化情况。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基本陈列展出藏品数：年度内博物馆所有基本陈列展出藏品总数，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需选择基本陈列展出藏品数“是”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发生变化，选择“否”，系统自动导入上一年度数据；选择“是”，可修改数量，并自动生成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较上一年度变化情况。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国内临时展览数：年度内博物馆举办的临时展览数量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。该项数值为馆内原创临时展览、馆际合作展览数量之和，由系统自动生成，需填写馆内原创临时展览、馆际合作展览数量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国内临时展览展出藏品数：年度内博物馆所举办临时展览展出藏品总数。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馆内原创临时展览数：年度内博物馆利用本馆资源，在本馆内自主举办的临时展览数量。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馆际合作展览数：年度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博物馆与其他国内博物馆或相关机构联合策划举办的临时展览数量（单纯出借文物参展不在此列）。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入境展览数：年度内博物馆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引进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境外博物馆或相关机构展览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出境展览数：年度内博物馆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经国家文物局批复同意，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向境外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（含港、澳、台地区）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博物馆或相关机构输出的展览数量。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线上展览数：年度内博物馆策划实施的在线图文展览、实景三维展览、虚拟展览等线上展览数量。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线下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教育活动数：年度内博物馆策划举办的课程、讲座、研学活动、进校园活动等各类教育活动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数量，不包括讲解场次数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线上教育活动数：年度内博物馆策划举办的线上课程、讲座、直播等教育活动数量。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年度观众总数：年度内博物馆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线下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接待观众总人数。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本地居民观众人数：年度内博物馆接待本地居民观众数量。未统计该项的，请填写0。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未成年观众人数：年度内博物馆接待18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岁以下未成年观众数量。未统计该项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，请填写0。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境外观众人数：年度内博物馆接待外国以及港、澳、台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地区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观众数量。未统计该项的，请填写0。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免费参观人数：年度内博物馆免费接待观众总人数。未统计该项的，请填写0。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教育活动参与人数：年度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博物馆各类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线下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教育活动的参与人数总和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未统计该项的，请填写0。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网站综合浏览量：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第37项所填写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博物馆官方网站的年度总浏览量。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新媒体访问量:第38项所填写的新媒体账号对应的年度访问量总和。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新媒体关注量：第38项所填写的新媒体账号对应的关注用户数量总和。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文化创意产品数：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博物馆依托馆藏资源，开发的文化创意产品种类数量，包括由博物馆委托、授权企业或与企业合作开发、销售的文化创意产品种类数量。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文化创意产品销售收入：年度内博物馆或委托、授权企业销售博物馆文创产品取得的收入总额，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以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万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元为单位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（四）管理信息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年度新增藏品数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：年度内博物馆新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且完成登记备案的藏品数量。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该项数值为年度征集购买、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接受捐赠、依法交换、拨交、移交、考古发掘、采集、拣选、其他来源藏品数量之和，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由系统自动生成。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年度征集购买藏品数：年度内博物馆以有偿形式取得的藏品数量。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年度接受捐赠藏品数：年度内博物馆以无偿或奖励形式取得的藏品数量。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年度依法交换藏品数：年度内国有文物收藏单位之间依据相关程序交换的藏品数量。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年度拨交藏品数：年度内通过行政手段变更使用权或保管权的藏品数量。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年度移交藏品数：年度内由公安、海关、纪检等部门移交罚没的藏品数量。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年度考古发掘藏品数：年度内通过正式考古发掘出土（水）的藏品数量。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年度采集藏品数：年度内博物馆通过捡拾上交等方式取得的藏品数量。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年度拣选藏品数：年度内博物馆从银行、冶炼厂、造纸厂、物资回收部门等处取得的藏品数量。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其他来源藏品数：年度内博物馆通过上述方式以外的其他方式取得的藏品数量。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修复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文物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博物馆修复或委托第三方机构修复的藏品数量，以修复工作启动的年度为准。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该项数值为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修复一级文物、二级文物、三级文物、一般文物数量之和，由系统自动生成，需分别填写修复一级文物、二级文物、三级文物、一般文物数量。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国际合作项目数：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博物馆参加国际文物保护修复、展览策划等合作项目数量，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以个为单位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国际人员交流：博物馆与国外文博机构等开展人员培训、交流的情况，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以人次为单位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国际学术活动：博物馆举办研讨会、学术论坛等国际学术活动数量，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以场为单位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从业人员总数：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博物馆建立劳动关系的各类工作人员总数。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需选择数量“是”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发生变化，选择“否”，系统自动导入上一年度数据；选择“是”，可修改数量，并自动生成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较上一年度变化情况。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在编职工人数：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国有博物馆按照机构编制部门核定的在编职工人数，非国有博物馆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填写从业人员总数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（数值应与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87项一致）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需选择数量“是”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发生变化，选择“否”，系统自动导入上一年度数据；选择“是”，可修改数量，并自动生成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较上一年度变化情况。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专业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技术人员总数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本馆聘用的各类具有专业技术资格（职称）的专业技术人员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总数。该项数值为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初级职称、中级职称、副高级职称、正高级职称数量之和 ，由系统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自动生成，需分别填写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初级职称、中级职称、副高级职称、正高级职称数量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安保人员数：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本馆聘用和外聘的安保人员数量。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志愿者人数：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博物馆登记注册的志愿者总数。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年度用电量：年度内博物馆用电量，以千瓦时为单位。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年度用水量：年度内博物馆用水量，以立方米为单位。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藏品安全事故数：年度内博物馆发生的涉及藏品安全事故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公共安全事故数：年度内博物馆发生的涉及观众人身、馆舍设施的公共安全事故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数量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信息公开联系人：填写信息公开工作责任部门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联系人姓名。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信息公开联系电话：填写信息公开工作责任部门的办公电话、传真号码。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二、拓展信息项目（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未定级博物馆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选填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，国家一二三级博物馆必填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机构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.博物馆年度工作情况简述：简述报告年度内，博物馆基本运行情况，举办各类陈列展览的名称、内容，举办教育活动内容、社会服务项目情况，承担科研项目及取得成果，对外宣传工作情况，博物馆文化创意产品开发工作情况，取得社会和经济效益等，不超过1500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（二）资源信息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年度重要科研成果简介：简述报告年度内，博物馆各类重要科研成果及其内容、价值、创新性等情况，不超过500字。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（三）服务信息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重要展览简介：简述报告年度内，博物馆新举办展览的内容题材、主要展品、表现形式、社会反馈情况，不超过500字。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Hans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主要服务情况：简述报告年度内，博物馆提供的各类社会服务项目相关信息，包括收费服务项目价格信息等，不超过500字（可提交服务项目简介）。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5.</w:t>
      </w:r>
      <w:r>
        <w:rPr>
          <w:rFonts w:hint="eastAsia" w:ascii="仿宋_GB2312" w:hAnsi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文化创意产品情况：简述报告年度内，博物馆开发文创产品的数量、特色产品、销售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、利润等，不超过300字。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（四）管理信息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6.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内部治理情况：简述报告年度内，博物馆理事会、监事会组成人员及运行情况，博物馆内部机构设置、内部管理制度建设情况等，不超过500字（可提交理事会、监事会成员名单）。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7.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藏品征集工作情况：简述报告年度内，博物馆新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藏品的来源及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定级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建档、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登录、保管、利用情况，不超过500字（可提交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新增藏品清单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8.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财务状况：简述报告年度经费收支状况，不超过300字（可提交财务报表）。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9.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安全管理情况：简述报告年度内，博物馆藏品安全和公共安全相关制度建设、设施配置、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配备、目常演练等情况，发生藏品安全和公共安全事故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，应说明事故原因、造成损失和处理情况，不超过500字。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10.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国际合作情况：简述报告年度内，博物馆参加国际合作项目、人员交流、学术活动等情况，不超过300字。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11.年度网络传播情况：简述报告年度内，博物馆通过官方网站、新媒体平台等开展展示、教育、传播活动的情况与社会反响等，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不超过300字。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12.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节能减排情况：简述报告年度内，博物馆实施的节能减排措施，如垃圾分类、新能源使用等，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不超过300字。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观众满意度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调查情况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简述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报告年度内，博物馆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开展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观众满意度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调查工作情况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，不超过300字（可提交观众调查报告）。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14.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媒体报道情况：简述报告年度内，博物馆被公众媒体报道的情况，包括媒体名称、类型、频次和主要内容，不超过300字（可提交媒体报道内容）。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15.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博物馆服务认证和资质信息：简述报告年度内，博物馆取得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包括爱国主义教育示范基地、青少年教育基地、考古发掘资质、可移动文物修复资质等服务认证和资质信息，需逐项说明资质授予单位和资质名称，不超过300字（可提交资质证书图片）。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16.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获得奖励情况：简述报告年度内，博物馆获得上级部门表彰奖励的有关情况，需逐项说明授奖单位和奖励名称，不超过300字。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17.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接受处罚情况：简述报告年度内，博物馆接受行政部门处罚的有关情况，需逐项说明处罚决定机关和处罚内容，不超过300字。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6BB63B"/>
    <w:multiLevelType w:val="singleLevel"/>
    <w:tmpl w:val="9A6BB63B"/>
    <w:lvl w:ilvl="0" w:tentative="0">
      <w:start w:val="1"/>
      <w:numFmt w:val="decimal"/>
      <w:lvlText w:val="%1."/>
      <w:lvlJc w:val="left"/>
      <w:pPr>
        <w:tabs>
          <w:tab w:val="left" w:pos="0"/>
        </w:tabs>
        <w:ind w:left="0" w:firstLine="0"/>
      </w:pPr>
      <w:rPr>
        <w:rFonts w:hint="default"/>
      </w:rPr>
    </w:lvl>
  </w:abstractNum>
  <w:abstractNum w:abstractNumId="1">
    <w:nsid w:val="D5C0BEFB"/>
    <w:multiLevelType w:val="multilevel"/>
    <w:tmpl w:val="D5C0BEF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  <w:lvl w:ilvl="1" w:tentative="0">
      <w:start w:val="1"/>
      <w:numFmt w:val="decimal"/>
      <w:suff w:val="nothing"/>
      <w:lvlText w:val="%2．"/>
      <w:lvlJc w:val="left"/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rPr>
        <w:rFonts w:hint="eastAsia"/>
      </w:rPr>
    </w:lvl>
  </w:abstractNum>
  <w:abstractNum w:abstractNumId="2">
    <w:nsid w:val="748DE7E5"/>
    <w:multiLevelType w:val="singleLevel"/>
    <w:tmpl w:val="748DE7E5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1F2643"/>
    <w:rsid w:val="1C1F2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2022-02-28T09:19:00Z</dcterms:created>
  <dc:creator>易寒家的赖赖包 ＆皮皮精</dc:creator>
  <cp:lastModifiedBy>易寒家的赖赖包 ＆皮皮精</cp:lastModifiedBy>
  <dcterms:modified xsi:type="dcterms:W3CDTF">2022-02-28T09:19:49Z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D06D19C1DDF540D8AAC28876634353CE</vt:lpwstr>
  </property>
</Properties>
</file>