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0" w:type="auto"/>
        <w:jc w:val="center"/>
        <w:tblBorders>
          <w:top w:val="outset" w:color="FFFFFF" w:sz="12" w:space="0"/>
          <w:left w:val="outset" w:color="FFFFFF" w:sz="12" w:space="0"/>
          <w:bottom w:val="outset" w:color="FFFFFF" w:sz="12" w:space="0"/>
          <w:right w:val="outset" w:color="FFFFFF" w:sz="12" w:space="0"/>
          <w:insideH w:val="outset" w:color="auto" w:sz="12" w:space="0"/>
          <w:insideV w:val="outset" w:color="auto" w:sz="12" w:space="0"/>
        </w:tblBorders>
        <w:tblLayout w:type="fixed"/>
        <w:tblCellMar>
          <w:top w:w="900" w:type="dxa"/>
          <w:left w:w="900" w:type="dxa"/>
          <w:bottom w:w="900" w:type="dxa"/>
          <w:right w:w="900" w:type="dxa"/>
        </w:tblCellMar>
      </w:tblPr>
      <w:tblGrid>
        <w:gridCol w:w="947"/>
        <w:gridCol w:w="425"/>
        <w:gridCol w:w="91"/>
        <w:gridCol w:w="525"/>
        <w:gridCol w:w="131"/>
        <w:gridCol w:w="264"/>
        <w:gridCol w:w="58"/>
        <w:gridCol w:w="83"/>
        <w:gridCol w:w="274"/>
        <w:gridCol w:w="120"/>
        <w:gridCol w:w="179"/>
        <w:gridCol w:w="94"/>
        <w:gridCol w:w="404"/>
        <w:gridCol w:w="312"/>
        <w:gridCol w:w="140"/>
        <w:gridCol w:w="171"/>
        <w:gridCol w:w="171"/>
        <w:gridCol w:w="13"/>
        <w:gridCol w:w="85"/>
        <w:gridCol w:w="299"/>
        <w:gridCol w:w="86"/>
        <w:gridCol w:w="200"/>
        <w:gridCol w:w="230"/>
        <w:gridCol w:w="325"/>
        <w:gridCol w:w="180"/>
        <w:gridCol w:w="45"/>
        <w:gridCol w:w="82"/>
        <w:gridCol w:w="125"/>
        <w:gridCol w:w="206"/>
        <w:gridCol w:w="199"/>
        <w:gridCol w:w="139"/>
        <w:gridCol w:w="701"/>
        <w:gridCol w:w="337"/>
        <w:gridCol w:w="1139"/>
        <w:gridCol w:w="24"/>
      </w:tblGrid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90" w:hRule="atLeast"/>
          <w:jc w:val="center"/>
        </w:trPr>
        <w:tc>
          <w:tcPr>
            <w:tcW w:w="8804" w:type="dxa"/>
            <w:gridSpan w:val="35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Style w:val="6"/>
                <w:rFonts w:hint="default" w:ascii="宋体" w:hAnsi="宋体" w:eastAsia="宋体" w:cs="宋体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6"/>
                <w:rFonts w:hint="eastAsia" w:ascii="黑体" w:hAnsi="黑体" w:eastAsia="黑体" w:cs="黑体"/>
                <w:b w:val="0"/>
                <w:bCs/>
                <w:color w:val="auto"/>
                <w:kern w:val="0"/>
                <w:sz w:val="32"/>
                <w:szCs w:val="32"/>
                <w:lang w:val="en-US" w:eastAsia="zh-CN" w:bidi="ar"/>
              </w:rPr>
              <w:t>附件2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90" w:hRule="atLeast"/>
          <w:jc w:val="center"/>
        </w:trPr>
        <w:tc>
          <w:tcPr>
            <w:tcW w:w="8804" w:type="dxa"/>
            <w:gridSpan w:val="35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bookmarkStart w:id="0" w:name="_GoBack"/>
            <w:r>
              <w:rPr>
                <w:rStyle w:val="6"/>
                <w:rFonts w:hint="eastAsia" w:ascii="方正小标宋简体" w:hAnsi="方正小标宋简体" w:eastAsia="方正小标宋简体" w:cs="方正小标宋简体"/>
                <w:b w:val="0"/>
                <w:bCs/>
                <w:color w:val="auto"/>
                <w:kern w:val="0"/>
                <w:sz w:val="36"/>
                <w:szCs w:val="36"/>
                <w:lang w:val="en-US" w:eastAsia="zh-CN" w:bidi="ar"/>
              </w:rPr>
              <w:t>博物馆年度报告信息表（样表）</w:t>
            </w:r>
            <w:bookmarkEnd w:id="0"/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CD8C2"/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highlight w:val="none"/>
                <w:lang w:val="en-US" w:eastAsia="zh-CN" w:bidi="ar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基本信息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机构信息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博物馆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备案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名称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名录库名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称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法人证书名称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曾用名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博物馆性质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法人类型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统一社会信用代码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法人登记机关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题材类型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举办者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隶属层级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法定代表人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设立时间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开馆日期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开放时间</w:t>
            </w:r>
          </w:p>
        </w:tc>
        <w:tc>
          <w:tcPr>
            <w:tcW w:w="2499" w:type="dxa"/>
            <w:gridSpan w:val="1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质量等级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免费开放</w:t>
            </w:r>
          </w:p>
        </w:tc>
        <w:tc>
          <w:tcPr>
            <w:tcW w:w="2499" w:type="dxa"/>
            <w:gridSpan w:val="1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是否纳入中央补助免费开放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博物馆纪念馆名单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馆舍地址</w:t>
            </w:r>
          </w:p>
        </w:tc>
        <w:tc>
          <w:tcPr>
            <w:tcW w:w="6816" w:type="dxa"/>
            <w:gridSpan w:val="3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馆址经度</w:t>
            </w:r>
          </w:p>
        </w:tc>
        <w:tc>
          <w:tcPr>
            <w:tcW w:w="2499" w:type="dxa"/>
            <w:gridSpan w:val="1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馆址纬度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行政区划</w:t>
            </w:r>
          </w:p>
        </w:tc>
        <w:tc>
          <w:tcPr>
            <w:tcW w:w="1203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1296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132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1497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邮政编码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馆舍产权性质</w:t>
            </w:r>
          </w:p>
        </w:tc>
        <w:tc>
          <w:tcPr>
            <w:tcW w:w="2499" w:type="dxa"/>
            <w:gridSpan w:val="1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馆舍建筑性质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国保单位名称</w:t>
            </w:r>
          </w:p>
        </w:tc>
        <w:tc>
          <w:tcPr>
            <w:tcW w:w="2499" w:type="dxa"/>
            <w:gridSpan w:val="1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  <w:tc>
          <w:tcPr>
            <w:tcW w:w="4317" w:type="dxa"/>
            <w:gridSpan w:val="1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 xml:space="preserve">国保单位批次:第 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批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馆舍建筑面积</w:t>
            </w:r>
          </w:p>
        </w:tc>
        <w:tc>
          <w:tcPr>
            <w:tcW w:w="9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  <w:tc>
          <w:tcPr>
            <w:tcW w:w="1569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展厅面积</w:t>
            </w:r>
          </w:p>
        </w:tc>
        <w:tc>
          <w:tcPr>
            <w:tcW w:w="11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库房面积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实验修复面积</w:t>
            </w:r>
          </w:p>
        </w:tc>
        <w:tc>
          <w:tcPr>
            <w:tcW w:w="9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  <w:tc>
          <w:tcPr>
            <w:tcW w:w="1569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教育空间面积</w:t>
            </w:r>
          </w:p>
        </w:tc>
        <w:tc>
          <w:tcPr>
            <w:tcW w:w="11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公共服务面积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652" w:hRule="atLeast"/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可移动文物</w:t>
            </w: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修复资质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取得可移动文物修复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资质的年份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282" w:hRule="atLeast"/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重大事项变更</w:t>
            </w:r>
          </w:p>
        </w:tc>
        <w:tc>
          <w:tcPr>
            <w:tcW w:w="6816" w:type="dxa"/>
            <w:gridSpan w:val="31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376" w:hRule="atLeast"/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联系电话</w:t>
            </w:r>
          </w:p>
        </w:tc>
        <w:tc>
          <w:tcPr>
            <w:tcW w:w="2499" w:type="dxa"/>
            <w:gridSpan w:val="15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  <w:tc>
          <w:tcPr>
            <w:tcW w:w="2817" w:type="dxa"/>
            <w:gridSpan w:val="1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电子邮箱</w:t>
            </w:r>
          </w:p>
        </w:tc>
        <w:tc>
          <w:tcPr>
            <w:tcW w:w="1500" w:type="dxa"/>
            <w:gridSpan w:val="3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387" w:hRule="atLeast"/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互联网址</w:t>
            </w:r>
          </w:p>
        </w:tc>
        <w:tc>
          <w:tcPr>
            <w:tcW w:w="6816" w:type="dxa"/>
            <w:gridSpan w:val="31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064" w:hRule="atLeast"/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新媒体账号</w:t>
            </w:r>
          </w:p>
        </w:tc>
        <w:tc>
          <w:tcPr>
            <w:tcW w:w="6816" w:type="dxa"/>
            <w:gridSpan w:val="31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339" w:hRule="atLeast"/>
          <w:jc w:val="center"/>
        </w:trPr>
        <w:tc>
          <w:tcPr>
            <w:tcW w:w="198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预约参观信息</w:t>
            </w:r>
          </w:p>
        </w:tc>
        <w:tc>
          <w:tcPr>
            <w:tcW w:w="6816" w:type="dxa"/>
            <w:gridSpan w:val="31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tcMar>
              <w:top w:w="0" w:type="dxa"/>
              <w:left w:w="53" w:type="dxa"/>
              <w:bottom w:w="0" w:type="dxa"/>
              <w:right w:w="53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center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835" w:hRule="atLeast"/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博物馆简介</w:t>
            </w:r>
          </w:p>
        </w:tc>
        <w:tc>
          <w:tcPr>
            <w:tcW w:w="6816" w:type="dxa"/>
            <w:gridSpan w:val="3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vertAlign w:val="baseline"/>
              </w:rPr>
              <w:t> </w:t>
            </w:r>
          </w:p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资源信息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藏品总数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（是否发生变化）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 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文物藏品总数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珍贵文物数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一级文物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 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二级文物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 xml:space="preserve">  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三级文物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 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一般文物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 xml:space="preserve">  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shd w:val="clear" w:color="auto" w:fill="auto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非文物藏品总数</w:t>
            </w:r>
          </w:p>
        </w:tc>
        <w:tc>
          <w:tcPr>
            <w:tcW w:w="2230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 xml:space="preserve">  件(套)</w:t>
            </w:r>
          </w:p>
        </w:tc>
        <w:tc>
          <w:tcPr>
            <w:tcW w:w="204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539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科研项目数</w:t>
            </w:r>
          </w:p>
        </w:tc>
        <w:tc>
          <w:tcPr>
            <w:tcW w:w="9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项</w:t>
            </w:r>
          </w:p>
        </w:tc>
        <w:tc>
          <w:tcPr>
            <w:tcW w:w="1569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出版物数</w:t>
            </w:r>
          </w:p>
        </w:tc>
        <w:tc>
          <w:tcPr>
            <w:tcW w:w="11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种</w:t>
            </w: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发表论文数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篇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服务信息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2119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全年开放天数</w:t>
            </w:r>
          </w:p>
        </w:tc>
        <w:tc>
          <w:tcPr>
            <w:tcW w:w="6685" w:type="dxa"/>
            <w:gridSpan w:val="3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天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2119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ind w:right="-93" w:rightChars="-29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年度陈列展览总数</w:t>
            </w:r>
          </w:p>
        </w:tc>
        <w:tc>
          <w:tcPr>
            <w:tcW w:w="6685" w:type="dxa"/>
            <w:gridSpan w:val="3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ind w:right="-93" w:rightChars="-29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个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cantSplit/>
          <w:jc w:val="center"/>
        </w:trPr>
        <w:tc>
          <w:tcPr>
            <w:tcW w:w="238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基本陈列数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（是否发生变化）</w:t>
            </w:r>
          </w:p>
        </w:tc>
        <w:tc>
          <w:tcPr>
            <w:tcW w:w="1835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个</w:t>
            </w:r>
          </w:p>
        </w:tc>
        <w:tc>
          <w:tcPr>
            <w:tcW w:w="2246" w:type="dxa"/>
            <w:gridSpan w:val="1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3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default" w:ascii="宋体" w:hAnsi="宋体" w:eastAsia="宋体" w:cs="宋体"/>
                <w:color w:val="auto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个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cantSplit/>
          <w:jc w:val="center"/>
        </w:trPr>
        <w:tc>
          <w:tcPr>
            <w:tcW w:w="238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基本陈列总面积</w:t>
            </w:r>
          </w:p>
        </w:tc>
        <w:tc>
          <w:tcPr>
            <w:tcW w:w="1835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㎡</w:t>
            </w:r>
          </w:p>
        </w:tc>
        <w:tc>
          <w:tcPr>
            <w:tcW w:w="2246" w:type="dxa"/>
            <w:gridSpan w:val="1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3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both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㎡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cantSplit/>
          <w:jc w:val="center"/>
        </w:trPr>
        <w:tc>
          <w:tcPr>
            <w:tcW w:w="238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基本陈列展出藏品数</w:t>
            </w:r>
          </w:p>
        </w:tc>
        <w:tc>
          <w:tcPr>
            <w:tcW w:w="1835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件(套)</w:t>
            </w:r>
          </w:p>
        </w:tc>
        <w:tc>
          <w:tcPr>
            <w:tcW w:w="2246" w:type="dxa"/>
            <w:gridSpan w:val="1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3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238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国内临时展览数</w:t>
            </w:r>
          </w:p>
        </w:tc>
        <w:tc>
          <w:tcPr>
            <w:tcW w:w="2104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个</w:t>
            </w: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国内临时展览展出藏品数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238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馆内原创临时展览数</w:t>
            </w:r>
          </w:p>
        </w:tc>
        <w:tc>
          <w:tcPr>
            <w:tcW w:w="2104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个</w:t>
            </w: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馆际合作展览数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个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入境展览数</w:t>
            </w:r>
          </w:p>
        </w:tc>
        <w:tc>
          <w:tcPr>
            <w:tcW w:w="9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个</w:t>
            </w:r>
          </w:p>
        </w:tc>
        <w:tc>
          <w:tcPr>
            <w:tcW w:w="1868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出境展览数</w:t>
            </w:r>
          </w:p>
        </w:tc>
        <w:tc>
          <w:tcPr>
            <w:tcW w:w="841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个</w:t>
            </w: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线上展览数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个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线下教育活动数</w:t>
            </w:r>
          </w:p>
        </w:tc>
        <w:tc>
          <w:tcPr>
            <w:tcW w:w="2499" w:type="dxa"/>
            <w:gridSpan w:val="1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场</w:t>
            </w:r>
          </w:p>
        </w:tc>
        <w:tc>
          <w:tcPr>
            <w:tcW w:w="2817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线上教育活动数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gridAfter w:val="1"/>
          <w:wAfter w:w="24" w:type="dxa"/>
          <w:jc w:val="center"/>
        </w:trPr>
        <w:tc>
          <w:tcPr>
            <w:tcW w:w="146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年度观众总数</w:t>
            </w:r>
          </w:p>
        </w:tc>
        <w:tc>
          <w:tcPr>
            <w:tcW w:w="97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  <w:tc>
          <w:tcPr>
            <w:tcW w:w="1948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本地居民观众人数</w:t>
            </w:r>
          </w:p>
        </w:tc>
        <w:tc>
          <w:tcPr>
            <w:tcW w:w="1463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  <w:tc>
          <w:tcPr>
            <w:tcW w:w="1789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未成年观众人数</w:t>
            </w:r>
          </w:p>
        </w:tc>
        <w:tc>
          <w:tcPr>
            <w:tcW w:w="1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gridAfter w:val="1"/>
          <w:wAfter w:w="24" w:type="dxa"/>
          <w:trHeight w:val="384" w:hRule="atLeast"/>
          <w:jc w:val="center"/>
        </w:trPr>
        <w:tc>
          <w:tcPr>
            <w:tcW w:w="146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境外观众人数</w:t>
            </w:r>
          </w:p>
        </w:tc>
        <w:tc>
          <w:tcPr>
            <w:tcW w:w="97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  <w:tc>
          <w:tcPr>
            <w:tcW w:w="1948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免费参观人数</w:t>
            </w:r>
          </w:p>
        </w:tc>
        <w:tc>
          <w:tcPr>
            <w:tcW w:w="1463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  <w:tc>
          <w:tcPr>
            <w:tcW w:w="1789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教育活动参与人数</w:t>
            </w:r>
          </w:p>
        </w:tc>
        <w:tc>
          <w:tcPr>
            <w:tcW w:w="11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网站综合浏览量</w:t>
            </w:r>
          </w:p>
        </w:tc>
        <w:tc>
          <w:tcPr>
            <w:tcW w:w="9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人次</w:t>
            </w:r>
          </w:p>
        </w:tc>
        <w:tc>
          <w:tcPr>
            <w:tcW w:w="1868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新媒体访问量</w:t>
            </w:r>
          </w:p>
        </w:tc>
        <w:tc>
          <w:tcPr>
            <w:tcW w:w="841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新媒体关注量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238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文化创意产品数</w:t>
            </w:r>
          </w:p>
        </w:tc>
        <w:tc>
          <w:tcPr>
            <w:tcW w:w="1835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种</w:t>
            </w:r>
          </w:p>
        </w:tc>
        <w:tc>
          <w:tcPr>
            <w:tcW w:w="3086" w:type="dxa"/>
            <w:gridSpan w:val="1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文化创意产品销售收入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管理信息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94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年度新增藏品数</w:t>
            </w:r>
          </w:p>
        </w:tc>
        <w:tc>
          <w:tcPr>
            <w:tcW w:w="2648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 件(套)</w:t>
            </w:r>
          </w:p>
        </w:tc>
        <w:tc>
          <w:tcPr>
            <w:tcW w:w="1477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年度征集购买藏品数</w:t>
            </w:r>
          </w:p>
        </w:tc>
        <w:tc>
          <w:tcPr>
            <w:tcW w:w="862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件(套)</w:t>
            </w:r>
          </w:p>
        </w:tc>
        <w:tc>
          <w:tcPr>
            <w:tcW w:w="137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年度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接受捐赠藏品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742" w:hRule="atLeast"/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年度依法交换藏品数</w:t>
            </w:r>
          </w:p>
        </w:tc>
        <w:tc>
          <w:tcPr>
            <w:tcW w:w="81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件(套)</w:t>
            </w:r>
          </w:p>
        </w:tc>
        <w:tc>
          <w:tcPr>
            <w:tcW w:w="2074" w:type="dxa"/>
            <w:gridSpan w:val="1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年度拨交藏品数</w:t>
            </w:r>
          </w:p>
        </w:tc>
        <w:tc>
          <w:tcPr>
            <w:tcW w:w="755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件(套)</w:t>
            </w: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年度移交藏品数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37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年度考古发掘藏品数</w:t>
            </w:r>
          </w:p>
        </w:tc>
        <w:tc>
          <w:tcPr>
            <w:tcW w:w="747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  <w:tc>
          <w:tcPr>
            <w:tcW w:w="978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年度采集藏品数</w:t>
            </w:r>
          </w:p>
        </w:tc>
        <w:tc>
          <w:tcPr>
            <w:tcW w:w="1121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  <w:tc>
          <w:tcPr>
            <w:tcW w:w="1084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年度拣选藏品数</w:t>
            </w:r>
          </w:p>
        </w:tc>
        <w:tc>
          <w:tcPr>
            <w:tcW w:w="963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  <w:tc>
          <w:tcPr>
            <w:tcW w:w="1039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其他来源藏品数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修复文物数</w:t>
            </w:r>
          </w:p>
        </w:tc>
        <w:tc>
          <w:tcPr>
            <w:tcW w:w="2059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（自动生成）  件(套)</w:t>
            </w:r>
          </w:p>
        </w:tc>
        <w:tc>
          <w:tcPr>
            <w:tcW w:w="2012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745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（自动生成）  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修复一级文物</w:t>
            </w:r>
          </w:p>
        </w:tc>
        <w:tc>
          <w:tcPr>
            <w:tcW w:w="2059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  <w:tc>
          <w:tcPr>
            <w:tcW w:w="2012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修复二级文物</w:t>
            </w:r>
          </w:p>
        </w:tc>
        <w:tc>
          <w:tcPr>
            <w:tcW w:w="2745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修复三级文物</w:t>
            </w:r>
          </w:p>
        </w:tc>
        <w:tc>
          <w:tcPr>
            <w:tcW w:w="2059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  <w:tc>
          <w:tcPr>
            <w:tcW w:w="2012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修复一般文物</w:t>
            </w:r>
          </w:p>
        </w:tc>
        <w:tc>
          <w:tcPr>
            <w:tcW w:w="2745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件(套)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国际合作项目数</w:t>
            </w:r>
          </w:p>
        </w:tc>
        <w:tc>
          <w:tcPr>
            <w:tcW w:w="930" w:type="dxa"/>
            <w:gridSpan w:val="6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个</w:t>
            </w:r>
          </w:p>
        </w:tc>
        <w:tc>
          <w:tcPr>
            <w:tcW w:w="1569" w:type="dxa"/>
            <w:gridSpan w:val="9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国际人员交流</w:t>
            </w:r>
          </w:p>
        </w:tc>
        <w:tc>
          <w:tcPr>
            <w:tcW w:w="1140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人次</w:t>
            </w:r>
          </w:p>
        </w:tc>
        <w:tc>
          <w:tcPr>
            <w:tcW w:w="1677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国际学术活动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从业人员总数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（是否发生变化）</w:t>
            </w:r>
          </w:p>
        </w:tc>
        <w:tc>
          <w:tcPr>
            <w:tcW w:w="2059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  <w:tc>
          <w:tcPr>
            <w:tcW w:w="2012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745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在编职工人数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（是否发生变化）</w:t>
            </w:r>
          </w:p>
        </w:tc>
        <w:tc>
          <w:tcPr>
            <w:tcW w:w="2059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  <w:tc>
          <w:tcPr>
            <w:tcW w:w="2012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745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专业技术人员总数（是否发生变化）</w:t>
            </w:r>
          </w:p>
        </w:tc>
        <w:tc>
          <w:tcPr>
            <w:tcW w:w="2059" w:type="dxa"/>
            <w:gridSpan w:val="11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人</w:t>
            </w:r>
          </w:p>
        </w:tc>
        <w:tc>
          <w:tcPr>
            <w:tcW w:w="2012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较上一年度变化情况</w:t>
            </w:r>
          </w:p>
        </w:tc>
        <w:tc>
          <w:tcPr>
            <w:tcW w:w="2745" w:type="dxa"/>
            <w:gridSpan w:val="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（自动生成）   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初级职称</w:t>
            </w:r>
          </w:p>
        </w:tc>
        <w:tc>
          <w:tcPr>
            <w:tcW w:w="2414" w:type="dxa"/>
            <w:gridSpan w:val="1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  <w:tc>
          <w:tcPr>
            <w:tcW w:w="2201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中级职称</w:t>
            </w:r>
          </w:p>
        </w:tc>
        <w:tc>
          <w:tcPr>
            <w:tcW w:w="2201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312" w:hRule="atLeast"/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副高级职称</w:t>
            </w:r>
          </w:p>
        </w:tc>
        <w:tc>
          <w:tcPr>
            <w:tcW w:w="2414" w:type="dxa"/>
            <w:gridSpan w:val="1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  <w:tc>
          <w:tcPr>
            <w:tcW w:w="2201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正高级职称</w:t>
            </w:r>
          </w:p>
        </w:tc>
        <w:tc>
          <w:tcPr>
            <w:tcW w:w="2201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312" w:hRule="atLeast"/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安保人员数</w:t>
            </w:r>
          </w:p>
        </w:tc>
        <w:tc>
          <w:tcPr>
            <w:tcW w:w="2414" w:type="dxa"/>
            <w:gridSpan w:val="1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  <w:tc>
          <w:tcPr>
            <w:tcW w:w="2201" w:type="dxa"/>
            <w:gridSpan w:val="1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志愿者人数</w:t>
            </w:r>
          </w:p>
        </w:tc>
        <w:tc>
          <w:tcPr>
            <w:tcW w:w="2201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人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年度用电量</w:t>
            </w:r>
          </w:p>
        </w:tc>
        <w:tc>
          <w:tcPr>
            <w:tcW w:w="1919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千瓦时</w:t>
            </w:r>
          </w:p>
        </w:tc>
        <w:tc>
          <w:tcPr>
            <w:tcW w:w="3397" w:type="dxa"/>
            <w:gridSpan w:val="1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年度用水量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立方米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年度收入</w:t>
            </w:r>
          </w:p>
        </w:tc>
        <w:tc>
          <w:tcPr>
            <w:tcW w:w="1919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万元</w:t>
            </w:r>
          </w:p>
        </w:tc>
        <w:tc>
          <w:tcPr>
            <w:tcW w:w="3397" w:type="dxa"/>
            <w:gridSpan w:val="1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年度支出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藏品安全事故数</w:t>
            </w:r>
          </w:p>
        </w:tc>
        <w:tc>
          <w:tcPr>
            <w:tcW w:w="1919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起</w:t>
            </w:r>
          </w:p>
        </w:tc>
        <w:tc>
          <w:tcPr>
            <w:tcW w:w="3397" w:type="dxa"/>
            <w:gridSpan w:val="1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公共安全事故数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起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信息公开联系人</w:t>
            </w:r>
          </w:p>
        </w:tc>
        <w:tc>
          <w:tcPr>
            <w:tcW w:w="1919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  <w:tc>
          <w:tcPr>
            <w:tcW w:w="3397" w:type="dxa"/>
            <w:gridSpan w:val="1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信息公开联系电话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1988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联系人移动电话</w:t>
            </w:r>
          </w:p>
        </w:tc>
        <w:tc>
          <w:tcPr>
            <w:tcW w:w="1919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  <w:tc>
          <w:tcPr>
            <w:tcW w:w="3397" w:type="dxa"/>
            <w:gridSpan w:val="1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办公室传真</w:t>
            </w:r>
          </w:p>
        </w:tc>
        <w:tc>
          <w:tcPr>
            <w:tcW w:w="150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vertAlign w:val="baseline"/>
                <w:lang w:val="en-US" w:eastAsia="zh-CN" w:bidi="ar"/>
              </w:rPr>
              <w:t> 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DCD8C2"/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拓展信息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机构信息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博物馆年度工作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情况简述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资源信息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年度重要科研成果简介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服务信息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年度重要展览简介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年度主要服务情况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年度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文化创意产品情况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jc w:val="center"/>
        </w:trPr>
        <w:tc>
          <w:tcPr>
            <w:tcW w:w="8804" w:type="dxa"/>
            <w:gridSpan w:val="3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Style w:val="6"/>
                <w:rFonts w:hint="eastAsia" w:ascii="宋体" w:hAnsi="宋体" w:eastAsia="宋体" w:cs="宋体"/>
                <w:color w:val="auto"/>
                <w:kern w:val="0"/>
                <w:sz w:val="22"/>
                <w:szCs w:val="22"/>
                <w:lang w:val="en-US" w:eastAsia="zh-CN" w:bidi="ar"/>
              </w:rPr>
              <w:t>管理信息</w:t>
            </w: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年度内部治理情况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年度藏品征集工作情况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年度财务状况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年度安全管理情况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年度国际合作情况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年度网络传播情况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年度节能减排情况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leftChars="0" w:right="0" w:rightChars="0"/>
              <w:jc w:val="left"/>
              <w:rPr>
                <w:rFonts w:ascii="Calibri" w:hAnsi="Calibri" w:eastAsia="宋体" w:cs="Times New Roman"/>
                <w:color w:val="auto"/>
                <w:kern w:val="0"/>
                <w:sz w:val="52"/>
                <w:szCs w:val="52"/>
                <w:lang w:val="en-US" w:eastAsia="zh-CN" w:bidi="ar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390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年度观众满意度调查情况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right="0"/>
              <w:jc w:val="both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年度媒体报道情况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年度博物馆服务认证和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资质信息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年度获得奖励情况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  <w:tr>
        <w:tblPrEx>
          <w:tblBorders>
            <w:top w:val="outset" w:color="FFFFFF" w:sz="12" w:space="0"/>
            <w:left w:val="outset" w:color="FFFFFF" w:sz="12" w:space="0"/>
            <w:bottom w:val="outset" w:color="FFFFFF" w:sz="12" w:space="0"/>
            <w:right w:val="outset" w:color="FFFFFF" w:sz="12" w:space="0"/>
            <w:insideH w:val="outset" w:color="auto" w:sz="12" w:space="0"/>
            <w:insideV w:val="outset" w:color="auto" w:sz="12" w:space="0"/>
          </w:tblBorders>
          <w:tblCellMar>
            <w:top w:w="900" w:type="dxa"/>
            <w:left w:w="900" w:type="dxa"/>
            <w:bottom w:w="900" w:type="dxa"/>
            <w:right w:w="900" w:type="dxa"/>
          </w:tblCellMar>
        </w:tblPrEx>
        <w:trPr>
          <w:trHeight w:val="1701" w:hRule="atLeast"/>
          <w:jc w:val="center"/>
        </w:trPr>
        <w:tc>
          <w:tcPr>
            <w:tcW w:w="2524" w:type="dxa"/>
            <w:gridSpan w:val="8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年度接受处罚情况</w:t>
            </w:r>
          </w:p>
        </w:tc>
        <w:tc>
          <w:tcPr>
            <w:tcW w:w="6280" w:type="dxa"/>
            <w:gridSpan w:val="27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noWrap w:val="0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>
            <w:pPr>
              <w:pStyle w:val="3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/>
              <w:ind w:left="0" w:right="0"/>
              <w:jc w:val="left"/>
              <w:rPr>
                <w:color w:val="auto"/>
                <w:sz w:val="52"/>
                <w:szCs w:val="5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EF4E96"/>
    <w:rsid w:val="29EF4E96"/>
    <w:rsid w:val="3BF4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正文四号"/>
    <w:basedOn w:val="1"/>
    <w:qFormat/>
    <w:uiPriority w:val="0"/>
    <w:pPr>
      <w:autoSpaceDE w:val="0"/>
      <w:autoSpaceDN w:val="0"/>
      <w:spacing w:line="360" w:lineRule="auto"/>
      <w:ind w:firstLine="200" w:firstLineChars="200"/>
      <w:jc w:val="left"/>
    </w:pPr>
    <w:rPr>
      <w:rFonts w:ascii="方正仿宋简体" w:hAnsi="方正仿宋简体" w:eastAsia="方正仿宋简体" w:cs="方正仿宋简体"/>
      <w:kern w:val="0"/>
      <w:sz w:val="28"/>
      <w:lang w:val="zh-CN" w:bidi="zh-CN"/>
    </w:rPr>
  </w:style>
  <w:style w:type="paragraph" w:customStyle="1" w:styleId="8">
    <w:name w:val="Char Char Char Char"/>
    <w:basedOn w:val="2"/>
    <w:qFormat/>
    <w:uiPriority w:val="0"/>
    <w:pPr>
      <w:snapToGrid w:val="0"/>
      <w:spacing w:before="240" w:after="240" w:line="348" w:lineRule="auto"/>
    </w:pPr>
    <w:rPr>
      <w:rFonts w:ascii="Tahoma" w:hAnsi="Tahoma" w:eastAsia="宋体"/>
      <w:bCs w:val="0"/>
      <w:kern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2022-02-28T09:18:00Z</dcterms:created>
  <dc:creator>易寒家的赖赖包 ＆皮皮精</dc:creator>
  <cp:lastModifiedBy>易寒家的赖赖包 ＆皮皮精</cp:lastModifiedBy>
  <dcterms:modified xsi:type="dcterms:W3CDTF">2022-02-28T09:19:09Z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3E4BE8B3C44341C69830F6640634B738</vt:lpwstr>
  </property>
</Properties>
</file>